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33803">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ascii="Times New Roman" w:hAnsi="Times New Roman" w:eastAsia="方正小标宋简体" w:cs="方正仿宋简体"/>
          <w:color w:val="000000"/>
          <w:sz w:val="32"/>
          <w:szCs w:val="32"/>
        </w:rPr>
        <w:t>卫生巾（护</w:t>
      </w:r>
      <w:bookmarkStart w:id="0" w:name="_GoBack"/>
      <w:bookmarkEnd w:id="0"/>
      <w:r>
        <w:rPr>
          <w:rFonts w:ascii="Times New Roman" w:hAnsi="Times New Roman" w:eastAsia="方正小标宋简体" w:cs="方正仿宋简体"/>
          <w:color w:val="000000"/>
          <w:sz w:val="32"/>
          <w:szCs w:val="32"/>
        </w:rPr>
        <w:t>垫）</w:t>
      </w:r>
      <w:r>
        <w:rPr>
          <w:rFonts w:hint="eastAsia" w:ascii="Times New Roman" w:hAnsi="Times New Roman" w:eastAsia="方正小标宋简体" w:cs="方正仿宋简体"/>
          <w:color w:val="000000"/>
          <w:sz w:val="32"/>
          <w:szCs w:val="32"/>
        </w:rPr>
        <w:t>产品质量监督抽查实施细则</w:t>
      </w:r>
    </w:p>
    <w:p w14:paraId="3EF8C9B8">
      <w:pPr>
        <w:spacing w:line="240" w:lineRule="auto"/>
        <w:ind w:firstLine="440" w:firstLineChars="200"/>
        <w:rPr>
          <w:rFonts w:ascii="Times New Roman" w:hAnsi="Times New Roman" w:eastAsia="宋体" w:cs="宋体"/>
          <w:sz w:val="22"/>
          <w:szCs w:val="28"/>
        </w:rPr>
      </w:pPr>
    </w:p>
    <w:p w14:paraId="695F70A2">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0D70DA0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3D6A37C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2EEBC92E">
      <w:pPr>
        <w:spacing w:line="520" w:lineRule="exact"/>
        <w:ind w:firstLine="440" w:firstLineChars="200"/>
        <w:rPr>
          <w:rFonts w:hint="eastAsia" w:ascii="宋体" w:hAnsi="宋体"/>
          <w:szCs w:val="21"/>
        </w:rPr>
      </w:pPr>
      <w:r>
        <w:rPr>
          <w:rFonts w:hint="default" w:ascii="Times New Roman" w:hAnsi="Times New Roman" w:eastAsia="宋体" w:cs="Times New Roman"/>
          <w:sz w:val="22"/>
          <w:szCs w:val="28"/>
        </w:rPr>
        <w:t>抽样基数满足抽样数量即可，</w:t>
      </w:r>
      <w:r>
        <w:rPr>
          <w:rFonts w:hint="default" w:ascii="Times New Roman" w:hAnsi="Times New Roman" w:cs="Times New Roman"/>
          <w:color w:val="000000"/>
          <w:szCs w:val="21"/>
        </w:rPr>
        <w:t>执行GB 15979</w:t>
      </w:r>
      <w:r>
        <w:rPr>
          <w:rFonts w:hint="default" w:ascii="Times New Roman" w:hAnsi="Times New Roman" w:cs="Times New Roman"/>
          <w:color w:val="000000"/>
          <w:szCs w:val="21"/>
        </w:rPr>
        <w:t>—</w:t>
      </w:r>
      <w:r>
        <w:rPr>
          <w:rFonts w:hint="default" w:ascii="Times New Roman" w:hAnsi="Times New Roman" w:cs="Times New Roman"/>
          <w:color w:val="000000"/>
          <w:szCs w:val="21"/>
        </w:rPr>
        <w:t>2002标准的产品：</w:t>
      </w:r>
      <w:r>
        <w:rPr>
          <w:rFonts w:hint="default" w:ascii="Times New Roman" w:hAnsi="Times New Roman" w:cs="Times New Roman"/>
          <w:szCs w:val="21"/>
        </w:rPr>
        <w:t>每批次产品抽取</w:t>
      </w:r>
      <w:r>
        <w:rPr>
          <w:rFonts w:ascii="Times New Roman" w:hAnsi="Times New Roman" w:cs="Times New Roman"/>
          <w:szCs w:val="21"/>
        </w:rPr>
        <w:t>样品</w:t>
      </w:r>
      <w:r>
        <w:rPr>
          <w:rFonts w:hint="default" w:ascii="Times New Roman" w:hAnsi="Times New Roman" w:cs="Times New Roman"/>
          <w:color w:val="000000"/>
          <w:szCs w:val="21"/>
        </w:rPr>
        <w:t>15</w:t>
      </w:r>
      <w:r>
        <w:rPr>
          <w:rFonts w:hint="default" w:ascii="Times New Roman" w:hAnsi="Times New Roman" w:cs="Times New Roman"/>
          <w:szCs w:val="21"/>
        </w:rPr>
        <w:t>包（最小销售包装）</w:t>
      </w:r>
      <w:r>
        <w:rPr>
          <w:rFonts w:ascii="Times New Roman" w:hAnsi="Times New Roman" w:cs="Times New Roman"/>
          <w:szCs w:val="21"/>
        </w:rPr>
        <w:t>，其中</w:t>
      </w:r>
      <w:r>
        <w:rPr>
          <w:rFonts w:hint="default" w:ascii="Times New Roman" w:hAnsi="Times New Roman" w:cs="Times New Roman"/>
          <w:color w:val="000000"/>
          <w:szCs w:val="21"/>
        </w:rPr>
        <w:t>12</w:t>
      </w:r>
      <w:r>
        <w:rPr>
          <w:rFonts w:hint="default" w:ascii="Times New Roman" w:hAnsi="Times New Roman" w:cs="Times New Roman"/>
          <w:szCs w:val="21"/>
        </w:rPr>
        <w:t>包作为检验样品，</w:t>
      </w:r>
      <w:r>
        <w:rPr>
          <w:rFonts w:hint="default" w:ascii="Times New Roman" w:hAnsi="Times New Roman" w:cs="Times New Roman"/>
          <w:color w:val="000000"/>
          <w:szCs w:val="21"/>
        </w:rPr>
        <w:t>3</w:t>
      </w:r>
      <w:r>
        <w:rPr>
          <w:rFonts w:hint="default" w:ascii="Times New Roman" w:hAnsi="Times New Roman" w:cs="Times New Roman"/>
          <w:szCs w:val="21"/>
        </w:rPr>
        <w:t>包</w:t>
      </w:r>
      <w:r>
        <w:rPr>
          <w:rFonts w:ascii="Times New Roman" w:hAnsi="Times New Roman" w:cs="Times New Roman"/>
          <w:szCs w:val="21"/>
        </w:rPr>
        <w:t>作</w:t>
      </w:r>
      <w:r>
        <w:rPr>
          <w:rFonts w:hint="default" w:ascii="Times New Roman" w:hAnsi="Times New Roman" w:cs="Times New Roman"/>
          <w:szCs w:val="21"/>
        </w:rPr>
        <w:t>为备用样品。</w:t>
      </w:r>
      <w:r>
        <w:rPr>
          <w:rFonts w:hint="default" w:ascii="Times New Roman" w:hAnsi="Times New Roman" w:cs="Times New Roman"/>
          <w:color w:val="000000"/>
          <w:szCs w:val="21"/>
        </w:rPr>
        <w:t>执行GB 15979</w:t>
      </w:r>
      <w:r>
        <w:rPr>
          <w:rFonts w:hint="default" w:ascii="Times New Roman" w:hAnsi="Times New Roman" w:cs="Times New Roman"/>
          <w:color w:val="000000"/>
          <w:szCs w:val="21"/>
        </w:rPr>
        <w:t>—</w:t>
      </w:r>
      <w:r>
        <w:rPr>
          <w:rFonts w:hint="default" w:ascii="Times New Roman" w:hAnsi="Times New Roman" w:cs="Times New Roman"/>
          <w:color w:val="000000"/>
          <w:szCs w:val="21"/>
        </w:rPr>
        <w:t>2024标准的产品：</w:t>
      </w:r>
      <w:r>
        <w:rPr>
          <w:rFonts w:hint="default" w:ascii="Times New Roman" w:hAnsi="Times New Roman" w:cs="Times New Roman"/>
          <w:szCs w:val="21"/>
        </w:rPr>
        <w:t>每批次产品抽取</w:t>
      </w:r>
      <w:r>
        <w:rPr>
          <w:rFonts w:ascii="Times New Roman" w:hAnsi="Times New Roman" w:cs="Times New Roman"/>
          <w:szCs w:val="21"/>
        </w:rPr>
        <w:t>样品</w:t>
      </w:r>
      <w:r>
        <w:rPr>
          <w:rFonts w:hint="default" w:ascii="Times New Roman" w:hAnsi="Times New Roman" w:cs="Times New Roman"/>
          <w:color w:val="000000"/>
          <w:szCs w:val="21"/>
        </w:rPr>
        <w:t>12</w:t>
      </w:r>
      <w:r>
        <w:rPr>
          <w:rFonts w:hint="default" w:ascii="Times New Roman" w:hAnsi="Times New Roman" w:cs="Times New Roman"/>
          <w:szCs w:val="21"/>
        </w:rPr>
        <w:t>包（最小销售包装）</w:t>
      </w:r>
      <w:r>
        <w:rPr>
          <w:rFonts w:ascii="Times New Roman" w:hAnsi="Times New Roman" w:cs="Times New Roman"/>
          <w:szCs w:val="21"/>
        </w:rPr>
        <w:t>，其中</w:t>
      </w:r>
      <w:r>
        <w:rPr>
          <w:rFonts w:hint="default" w:ascii="Times New Roman" w:hAnsi="Times New Roman" w:cs="Times New Roman"/>
          <w:color w:val="000000"/>
          <w:szCs w:val="21"/>
        </w:rPr>
        <w:t>9</w:t>
      </w:r>
      <w:r>
        <w:rPr>
          <w:rFonts w:hint="default" w:ascii="Times New Roman" w:hAnsi="Times New Roman" w:cs="Times New Roman"/>
          <w:szCs w:val="21"/>
        </w:rPr>
        <w:t>包作为检验样品，</w:t>
      </w:r>
      <w:r>
        <w:rPr>
          <w:rFonts w:hint="default" w:ascii="Times New Roman" w:hAnsi="Times New Roman" w:cs="Times New Roman"/>
          <w:color w:val="000000"/>
          <w:szCs w:val="21"/>
        </w:rPr>
        <w:t>3</w:t>
      </w:r>
      <w:r>
        <w:rPr>
          <w:rFonts w:hint="default" w:ascii="Times New Roman" w:hAnsi="Times New Roman" w:cs="Times New Roman"/>
          <w:szCs w:val="21"/>
        </w:rPr>
        <w:t>包</w:t>
      </w:r>
      <w:r>
        <w:rPr>
          <w:rFonts w:ascii="Times New Roman" w:hAnsi="Times New Roman" w:cs="Times New Roman"/>
          <w:szCs w:val="21"/>
        </w:rPr>
        <w:t>作</w:t>
      </w:r>
      <w:r>
        <w:rPr>
          <w:rFonts w:hint="default" w:ascii="Times New Roman" w:hAnsi="Times New Roman" w:cs="Times New Roman"/>
          <w:szCs w:val="21"/>
        </w:rPr>
        <w:t>为备用样品。如果最小销售包装内装量不足10片，需增加抽取的最小销售包装数量，使样品片数不少于以上包装按10片计的片数。</w:t>
      </w:r>
    </w:p>
    <w:p w14:paraId="2691C068">
      <w:pPr>
        <w:spacing w:line="240" w:lineRule="auto"/>
        <w:ind w:firstLine="440" w:firstLineChars="200"/>
        <w:rPr>
          <w:rFonts w:ascii="Times New Roman" w:hAnsi="Times New Roman" w:eastAsia="宋体" w:cs="宋体"/>
          <w:sz w:val="22"/>
          <w:szCs w:val="28"/>
        </w:rPr>
      </w:pPr>
    </w:p>
    <w:p w14:paraId="408F0F54">
      <w:pPr>
        <w:spacing w:line="520" w:lineRule="exact"/>
        <w:rPr>
          <w:rFonts w:hint="eastAsia" w:ascii="Times New Roman" w:hAnsi="Times New Roman" w:eastAsia="黑体" w:cs="黑体"/>
          <w:sz w:val="22"/>
          <w:szCs w:val="28"/>
        </w:rPr>
      </w:pPr>
      <w:r>
        <w:rPr>
          <w:rFonts w:hint="eastAsia" w:ascii="Times New Roman" w:hAnsi="Times New Roman" w:eastAsia="黑体" w:cs="黑体"/>
          <w:sz w:val="22"/>
          <w:szCs w:val="28"/>
        </w:rPr>
        <w:t>2 检验依据</w:t>
      </w:r>
    </w:p>
    <w:p w14:paraId="6BF1E823">
      <w:pPr>
        <w:spacing w:line="520" w:lineRule="exact"/>
        <w:jc w:val="left"/>
        <w:rPr>
          <w:rFonts w:ascii="Times New Roman" w:hAnsi="Times New Roman" w:eastAsia="宋体" w:cs="Times New Roman"/>
          <w:sz w:val="22"/>
          <w:szCs w:val="28"/>
        </w:rPr>
      </w:pPr>
      <w:r>
        <w:rPr>
          <w:rFonts w:hint="eastAsia" w:ascii="Times New Roman" w:hAnsi="Times New Roman" w:cs="Times New Roman"/>
          <w:szCs w:val="21"/>
          <w:lang w:eastAsia="zh-CN"/>
        </w:rPr>
        <w:t>2</w:t>
      </w:r>
      <w:r>
        <w:rPr>
          <w:rFonts w:hint="eastAsia" w:ascii="Times New Roman" w:hAnsi="Times New Roman" w:cs="Times New Roman"/>
          <w:szCs w:val="21"/>
          <w:lang w:val="en-US" w:eastAsia="zh-CN"/>
        </w:rPr>
        <w:t>.1</w:t>
      </w:r>
      <w:r>
        <w:rPr>
          <w:rFonts w:hint="default" w:ascii="Times New Roman" w:hAnsi="Times New Roman" w:cs="Times New Roman"/>
          <w:szCs w:val="21"/>
        </w:rPr>
        <w:t xml:space="preserve"> 卫生巾</w:t>
      </w:r>
      <w:r>
        <w:rPr>
          <w:rFonts w:hint="default" w:ascii="Times New Roman" w:hAnsi="Times New Roman" w:eastAsia="宋体" w:cs="Times New Roman"/>
          <w:sz w:val="22"/>
          <w:szCs w:val="28"/>
        </w:rPr>
        <w:t>（护垫）</w:t>
      </w:r>
      <w:r>
        <w:rPr>
          <w:rFonts w:hint="default" w:ascii="Times New Roman" w:hAnsi="Times New Roman" w:cs="Times New Roman"/>
          <w:szCs w:val="21"/>
        </w:rPr>
        <w:t>（GB 15979—2002、GB/T 8939</w:t>
      </w:r>
      <w:r>
        <w:rPr>
          <w:rFonts w:hint="default" w:ascii="Times New Roman" w:hAnsi="Times New Roman" w:cs="Times New Roman"/>
          <w:color w:val="000000"/>
          <w:szCs w:val="21"/>
        </w:rPr>
        <w:t>—</w:t>
      </w:r>
      <w:r>
        <w:rPr>
          <w:rFonts w:hint="default" w:ascii="Times New Roman" w:hAnsi="Times New Roman" w:cs="Times New Roman"/>
          <w:szCs w:val="21"/>
        </w:rPr>
        <w:t>2018）</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946"/>
        <w:gridCol w:w="2996"/>
        <w:gridCol w:w="2138"/>
        <w:gridCol w:w="2184"/>
        <w:tblGridChange w:id="0">
          <w:tblGrid>
            <w:gridCol w:w="797"/>
            <w:gridCol w:w="245"/>
            <w:gridCol w:w="701"/>
            <w:gridCol w:w="2996"/>
            <w:gridCol w:w="2138"/>
            <w:gridCol w:w="2184"/>
          </w:tblGrid>
        </w:tblGridChange>
      </w:tblGrid>
      <w:tr w14:paraId="3C7F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CBF5A51">
            <w:pPr>
              <w:jc w:val="center"/>
              <w:rPr>
                <w:rFonts w:hint="default" w:ascii="Times New Roman" w:hAnsi="Times New Roman" w:cs="Times New Roman"/>
                <w:szCs w:val="21"/>
              </w:rPr>
            </w:pPr>
            <w:r>
              <w:rPr>
                <w:rFonts w:ascii="Times New Roman" w:hAnsi="Times New Roman" w:cs="Times New Roman"/>
                <w:szCs w:val="21"/>
              </w:rPr>
              <w:t>序号</w:t>
            </w:r>
          </w:p>
        </w:tc>
        <w:tc>
          <w:tcPr>
            <w:tcW w:w="2175" w:type="pct"/>
            <w:gridSpan w:val="2"/>
            <w:vAlign w:val="center"/>
          </w:tcPr>
          <w:p w14:paraId="73F89077">
            <w:pPr>
              <w:jc w:val="center"/>
              <w:rPr>
                <w:rFonts w:hint="default" w:ascii="Times New Roman" w:hAnsi="Times New Roman" w:cs="Times New Roman"/>
                <w:szCs w:val="21"/>
              </w:rPr>
            </w:pPr>
            <w:r>
              <w:rPr>
                <w:rFonts w:ascii="Times New Roman" w:hAnsi="Times New Roman" w:cs="Times New Roman"/>
                <w:szCs w:val="21"/>
              </w:rPr>
              <w:t>检验项目</w:t>
            </w:r>
          </w:p>
        </w:tc>
        <w:tc>
          <w:tcPr>
            <w:tcW w:w="1180" w:type="pct"/>
            <w:vAlign w:val="center"/>
          </w:tcPr>
          <w:p w14:paraId="21CB2A88">
            <w:pPr>
              <w:jc w:val="center"/>
              <w:rPr>
                <w:rFonts w:hint="default" w:ascii="Times New Roman" w:hAnsi="Times New Roman" w:cs="Times New Roman"/>
                <w:szCs w:val="21"/>
              </w:rPr>
            </w:pPr>
            <w:r>
              <w:rPr>
                <w:rFonts w:ascii="Times New Roman" w:hAnsi="Times New Roman" w:cs="Times New Roman"/>
                <w:szCs w:val="21"/>
              </w:rPr>
              <w:t>检验依据</w:t>
            </w:r>
          </w:p>
        </w:tc>
        <w:tc>
          <w:tcPr>
            <w:tcW w:w="1202" w:type="pct"/>
            <w:vAlign w:val="center"/>
          </w:tcPr>
          <w:p w14:paraId="0A2B5C48">
            <w:pPr>
              <w:jc w:val="center"/>
              <w:rPr>
                <w:rFonts w:hint="default" w:ascii="Times New Roman" w:hAnsi="Times New Roman" w:cs="Times New Roman"/>
                <w:szCs w:val="21"/>
              </w:rPr>
            </w:pPr>
            <w:r>
              <w:rPr>
                <w:rFonts w:ascii="Times New Roman" w:hAnsi="Times New Roman" w:cs="Times New Roman"/>
                <w:szCs w:val="21"/>
              </w:rPr>
              <w:t>检验方法</w:t>
            </w:r>
          </w:p>
        </w:tc>
      </w:tr>
      <w:tr w14:paraId="4EB6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116C6673">
            <w:pPr>
              <w:autoSpaceDE w:val="0"/>
              <w:autoSpaceDN w:val="0"/>
              <w:jc w:val="center"/>
              <w:rPr>
                <w:rFonts w:hint="default" w:ascii="Times New Roman" w:hAnsi="Times New Roman" w:cs="Times New Roman"/>
                <w:color w:val="000000"/>
                <w:kern w:val="0"/>
                <w:szCs w:val="21"/>
              </w:rPr>
            </w:pPr>
            <w:r>
              <w:rPr>
                <w:rFonts w:ascii="Times New Roman" w:hAnsi="Times New Roman" w:cs="Times New Roman"/>
                <w:color w:val="000000"/>
                <w:kern w:val="0"/>
                <w:szCs w:val="21"/>
              </w:rPr>
              <w:t>1</w:t>
            </w:r>
          </w:p>
        </w:tc>
        <w:tc>
          <w:tcPr>
            <w:tcW w:w="522" w:type="pct"/>
            <w:vMerge w:val="restart"/>
            <w:vAlign w:val="center"/>
          </w:tcPr>
          <w:p w14:paraId="06A30C9E">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微生物学指标</w:t>
            </w:r>
          </w:p>
        </w:tc>
        <w:tc>
          <w:tcPr>
            <w:tcW w:w="1653" w:type="pct"/>
            <w:vAlign w:val="center"/>
          </w:tcPr>
          <w:p w14:paraId="3827BDC6">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细菌菌落总数</w:t>
            </w:r>
          </w:p>
        </w:tc>
        <w:tc>
          <w:tcPr>
            <w:tcW w:w="1180" w:type="pct"/>
            <w:vAlign w:val="center"/>
          </w:tcPr>
          <w:p w14:paraId="67A82D7E">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15979—2002</w:t>
            </w:r>
          </w:p>
        </w:tc>
        <w:tc>
          <w:tcPr>
            <w:tcW w:w="1202" w:type="pct"/>
            <w:vAlign w:val="center"/>
          </w:tcPr>
          <w:p w14:paraId="39E62F70">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15979—2002</w:t>
            </w:r>
          </w:p>
        </w:tc>
      </w:tr>
      <w:tr w14:paraId="05982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left w:val="single" w:color="auto" w:sz="4" w:space="0"/>
              <w:bottom w:val="single" w:color="auto" w:sz="4" w:space="0"/>
              <w:right w:val="single" w:color="auto" w:sz="4" w:space="0"/>
            </w:tcBorders>
            <w:vAlign w:val="center"/>
          </w:tcPr>
          <w:p w14:paraId="514DBA00">
            <w:pPr>
              <w:autoSpaceDE w:val="0"/>
              <w:autoSpaceDN w:val="0"/>
              <w:jc w:val="center"/>
              <w:rPr>
                <w:rFonts w:hint="default" w:ascii="Times New Roman" w:hAnsi="Times New Roman" w:cs="Times New Roman"/>
                <w:color w:val="000000"/>
                <w:kern w:val="0"/>
                <w:szCs w:val="21"/>
              </w:rPr>
            </w:pPr>
            <w:r>
              <w:rPr>
                <w:rFonts w:ascii="Times New Roman" w:hAnsi="Times New Roman" w:cs="Times New Roman"/>
                <w:color w:val="000000"/>
                <w:kern w:val="0"/>
                <w:szCs w:val="21"/>
              </w:rPr>
              <w:t>2</w:t>
            </w:r>
          </w:p>
        </w:tc>
        <w:tc>
          <w:tcPr>
            <w:tcW w:w="522" w:type="pct"/>
            <w:vMerge w:val="continue"/>
            <w:vAlign w:val="center"/>
          </w:tcPr>
          <w:p w14:paraId="2DE57342">
            <w:pPr>
              <w:autoSpaceDE w:val="0"/>
              <w:autoSpaceDN w:val="0"/>
              <w:jc w:val="center"/>
              <w:rPr>
                <w:rFonts w:hint="default" w:ascii="Times New Roman" w:hAnsi="Times New Roman" w:cs="Times New Roman"/>
                <w:color w:val="000000"/>
                <w:kern w:val="0"/>
                <w:szCs w:val="21"/>
              </w:rPr>
            </w:pPr>
          </w:p>
        </w:tc>
        <w:tc>
          <w:tcPr>
            <w:tcW w:w="1653" w:type="pct"/>
            <w:vAlign w:val="center"/>
          </w:tcPr>
          <w:p w14:paraId="56837BF9">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大肠菌群</w:t>
            </w:r>
          </w:p>
        </w:tc>
        <w:tc>
          <w:tcPr>
            <w:tcW w:w="1180" w:type="pct"/>
            <w:vAlign w:val="center"/>
          </w:tcPr>
          <w:p w14:paraId="0D37E6DD">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15979—2002</w:t>
            </w:r>
          </w:p>
        </w:tc>
        <w:tc>
          <w:tcPr>
            <w:tcW w:w="1202" w:type="pct"/>
            <w:vAlign w:val="center"/>
          </w:tcPr>
          <w:p w14:paraId="34A052E0">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15979—2002</w:t>
            </w:r>
          </w:p>
        </w:tc>
      </w:tr>
      <w:tr w14:paraId="5A0F7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top w:val="single" w:color="auto" w:sz="4" w:space="0"/>
              <w:left w:val="single" w:color="auto" w:sz="4" w:space="0"/>
              <w:right w:val="single" w:color="auto" w:sz="4" w:space="0"/>
            </w:tcBorders>
            <w:vAlign w:val="center"/>
          </w:tcPr>
          <w:p w14:paraId="38A08EC9">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3</w:t>
            </w:r>
          </w:p>
        </w:tc>
        <w:tc>
          <w:tcPr>
            <w:tcW w:w="522" w:type="pct"/>
            <w:vMerge w:val="continue"/>
            <w:vAlign w:val="center"/>
          </w:tcPr>
          <w:p w14:paraId="02928F89">
            <w:pPr>
              <w:autoSpaceDE w:val="0"/>
              <w:autoSpaceDN w:val="0"/>
              <w:jc w:val="center"/>
              <w:rPr>
                <w:rFonts w:hint="default" w:ascii="Times New Roman" w:hAnsi="Times New Roman" w:cs="Times New Roman"/>
                <w:color w:val="000000"/>
                <w:kern w:val="0"/>
                <w:szCs w:val="21"/>
              </w:rPr>
            </w:pPr>
          </w:p>
        </w:tc>
        <w:tc>
          <w:tcPr>
            <w:tcW w:w="1653" w:type="pct"/>
            <w:vAlign w:val="center"/>
          </w:tcPr>
          <w:p w14:paraId="4B993E6E">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szCs w:val="21"/>
              </w:rPr>
              <w:t>致病性化脓菌（绿脓杆菌、金黄色葡萄球菌、溶血性链球菌）</w:t>
            </w:r>
          </w:p>
        </w:tc>
        <w:tc>
          <w:tcPr>
            <w:tcW w:w="1180" w:type="pct"/>
            <w:vAlign w:val="center"/>
          </w:tcPr>
          <w:p w14:paraId="50FCDCA0">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15979—2002</w:t>
            </w:r>
          </w:p>
        </w:tc>
        <w:tc>
          <w:tcPr>
            <w:tcW w:w="1202" w:type="pct"/>
            <w:vAlign w:val="center"/>
          </w:tcPr>
          <w:p w14:paraId="0FA8CEBA">
            <w:pPr>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15979—2002</w:t>
            </w:r>
          </w:p>
        </w:tc>
      </w:tr>
      <w:tr w14:paraId="0395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left w:val="single" w:color="auto" w:sz="4" w:space="0"/>
              <w:bottom w:val="single" w:color="auto" w:sz="4" w:space="0"/>
              <w:right w:val="single" w:color="auto" w:sz="4" w:space="0"/>
            </w:tcBorders>
            <w:vAlign w:val="center"/>
          </w:tcPr>
          <w:p w14:paraId="1F851D45">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4</w:t>
            </w:r>
          </w:p>
        </w:tc>
        <w:tc>
          <w:tcPr>
            <w:tcW w:w="522" w:type="pct"/>
            <w:vMerge w:val="continue"/>
            <w:vAlign w:val="center"/>
          </w:tcPr>
          <w:p w14:paraId="50C0AB5E">
            <w:pPr>
              <w:autoSpaceDE w:val="0"/>
              <w:autoSpaceDN w:val="0"/>
              <w:jc w:val="center"/>
              <w:rPr>
                <w:rFonts w:hint="default" w:ascii="Times New Roman" w:hAnsi="Times New Roman" w:cs="Times New Roman"/>
                <w:color w:val="000000"/>
                <w:kern w:val="0"/>
                <w:szCs w:val="21"/>
              </w:rPr>
            </w:pPr>
          </w:p>
        </w:tc>
        <w:tc>
          <w:tcPr>
            <w:tcW w:w="1653" w:type="pct"/>
            <w:vAlign w:val="center"/>
          </w:tcPr>
          <w:p w14:paraId="0A7B240C">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szCs w:val="21"/>
              </w:rPr>
              <w:t>真菌菌落总数</w:t>
            </w:r>
          </w:p>
        </w:tc>
        <w:tc>
          <w:tcPr>
            <w:tcW w:w="1180" w:type="pct"/>
            <w:vAlign w:val="center"/>
          </w:tcPr>
          <w:p w14:paraId="31228D3E">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15979—2002</w:t>
            </w:r>
          </w:p>
        </w:tc>
        <w:tc>
          <w:tcPr>
            <w:tcW w:w="1202" w:type="pct"/>
            <w:vAlign w:val="center"/>
          </w:tcPr>
          <w:p w14:paraId="159155CC">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15979—2002</w:t>
            </w:r>
          </w:p>
        </w:tc>
      </w:tr>
      <w:tr w14:paraId="7101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left w:val="single" w:color="auto" w:sz="4" w:space="0"/>
              <w:bottom w:val="single" w:color="auto" w:sz="4" w:space="0"/>
              <w:right w:val="single" w:color="auto" w:sz="4" w:space="0"/>
            </w:tcBorders>
            <w:vAlign w:val="center"/>
          </w:tcPr>
          <w:p w14:paraId="0E7FBCF1">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5</w:t>
            </w:r>
          </w:p>
        </w:tc>
        <w:tc>
          <w:tcPr>
            <w:tcW w:w="2175" w:type="pct"/>
            <w:gridSpan w:val="2"/>
            <w:vAlign w:val="center"/>
          </w:tcPr>
          <w:p w14:paraId="558011F0">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全长偏差</w:t>
            </w:r>
          </w:p>
        </w:tc>
        <w:tc>
          <w:tcPr>
            <w:tcW w:w="1180" w:type="pct"/>
            <w:vAlign w:val="center"/>
          </w:tcPr>
          <w:p w14:paraId="2D3CFA5B">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202" w:type="pct"/>
            <w:vAlign w:val="center"/>
          </w:tcPr>
          <w:p w14:paraId="175D4A8E">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1867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left w:val="single" w:color="auto" w:sz="4" w:space="0"/>
              <w:bottom w:val="single" w:color="auto" w:sz="4" w:space="0"/>
              <w:right w:val="single" w:color="auto" w:sz="4" w:space="0"/>
            </w:tcBorders>
            <w:vAlign w:val="center"/>
          </w:tcPr>
          <w:p w14:paraId="70FD4FCC">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w:t>
            </w:r>
          </w:p>
        </w:tc>
        <w:tc>
          <w:tcPr>
            <w:tcW w:w="2175" w:type="pct"/>
            <w:gridSpan w:val="2"/>
            <w:vAlign w:val="center"/>
          </w:tcPr>
          <w:p w14:paraId="40EB4A68">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条质量偏差</w:t>
            </w:r>
            <w:r>
              <w:rPr>
                <w:rFonts w:hint="default" w:ascii="Times New Roman" w:hAnsi="Times New Roman" w:cs="Times New Roman"/>
                <w:szCs w:val="21"/>
                <w:vertAlign w:val="superscript"/>
              </w:rPr>
              <w:t>a</w:t>
            </w:r>
          </w:p>
        </w:tc>
        <w:tc>
          <w:tcPr>
            <w:tcW w:w="1180" w:type="pct"/>
            <w:vAlign w:val="center"/>
          </w:tcPr>
          <w:p w14:paraId="1D925704">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202" w:type="pct"/>
            <w:vAlign w:val="center"/>
          </w:tcPr>
          <w:p w14:paraId="12210920">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510F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61509A4E">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7</w:t>
            </w:r>
          </w:p>
        </w:tc>
        <w:tc>
          <w:tcPr>
            <w:tcW w:w="2175" w:type="pct"/>
            <w:gridSpan w:val="2"/>
            <w:vAlign w:val="center"/>
          </w:tcPr>
          <w:p w14:paraId="6C3C7D12">
            <w:pPr>
              <w:jc w:val="center"/>
              <w:rPr>
                <w:rFonts w:hint="default" w:ascii="Times New Roman" w:hAnsi="Times New Roman" w:cs="Times New Roman"/>
                <w:color w:val="000000"/>
                <w:kern w:val="0"/>
                <w:szCs w:val="21"/>
              </w:rPr>
            </w:pPr>
            <w:r>
              <w:rPr>
                <w:rFonts w:hint="default" w:ascii="Times New Roman" w:hAnsi="Times New Roman" w:cs="Times New Roman"/>
                <w:szCs w:val="21"/>
              </w:rPr>
              <w:t>吸水倍率</w:t>
            </w:r>
          </w:p>
        </w:tc>
        <w:tc>
          <w:tcPr>
            <w:tcW w:w="1180" w:type="pct"/>
            <w:vAlign w:val="center"/>
          </w:tcPr>
          <w:p w14:paraId="67971A77">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202" w:type="pct"/>
            <w:vAlign w:val="center"/>
          </w:tcPr>
          <w:p w14:paraId="2ADF3C0C">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4204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53E2B6A5">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8</w:t>
            </w:r>
          </w:p>
        </w:tc>
        <w:tc>
          <w:tcPr>
            <w:tcW w:w="2175" w:type="pct"/>
            <w:gridSpan w:val="2"/>
            <w:vAlign w:val="center"/>
          </w:tcPr>
          <w:p w14:paraId="3B85B9F3">
            <w:pPr>
              <w:jc w:val="center"/>
              <w:rPr>
                <w:rFonts w:hint="default" w:ascii="Times New Roman" w:hAnsi="Times New Roman" w:cs="Times New Roman"/>
                <w:color w:val="000000"/>
                <w:kern w:val="0"/>
                <w:szCs w:val="21"/>
              </w:rPr>
            </w:pPr>
            <w:r>
              <w:rPr>
                <w:rFonts w:hint="default" w:ascii="Times New Roman" w:hAnsi="Times New Roman" w:cs="Times New Roman"/>
                <w:szCs w:val="21"/>
              </w:rPr>
              <w:t>吸收速度</w:t>
            </w:r>
            <w:r>
              <w:rPr>
                <w:rFonts w:hint="default" w:ascii="Times New Roman" w:hAnsi="Times New Roman" w:cs="Times New Roman"/>
                <w:szCs w:val="21"/>
                <w:vertAlign w:val="superscript"/>
              </w:rPr>
              <w:t>a</w:t>
            </w:r>
          </w:p>
        </w:tc>
        <w:tc>
          <w:tcPr>
            <w:tcW w:w="1180" w:type="pct"/>
            <w:vAlign w:val="center"/>
          </w:tcPr>
          <w:p w14:paraId="143B693C">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202" w:type="pct"/>
            <w:vAlign w:val="center"/>
          </w:tcPr>
          <w:p w14:paraId="4640E0FD">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1136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27D9E33">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9</w:t>
            </w:r>
          </w:p>
        </w:tc>
        <w:tc>
          <w:tcPr>
            <w:tcW w:w="2175" w:type="pct"/>
            <w:gridSpan w:val="2"/>
            <w:vAlign w:val="center"/>
          </w:tcPr>
          <w:p w14:paraId="182AE7F7">
            <w:pPr>
              <w:jc w:val="center"/>
              <w:rPr>
                <w:rFonts w:hint="default" w:ascii="Times New Roman" w:hAnsi="Times New Roman" w:cs="Times New Roman"/>
                <w:color w:val="000000"/>
                <w:kern w:val="0"/>
                <w:szCs w:val="21"/>
              </w:rPr>
            </w:pPr>
            <w:r>
              <w:rPr>
                <w:rFonts w:hint="default" w:ascii="Times New Roman" w:hAnsi="Times New Roman" w:cs="Times New Roman"/>
                <w:szCs w:val="21"/>
              </w:rPr>
              <w:t>pH</w:t>
            </w:r>
          </w:p>
        </w:tc>
        <w:tc>
          <w:tcPr>
            <w:tcW w:w="1180" w:type="pct"/>
            <w:vAlign w:val="center"/>
          </w:tcPr>
          <w:p w14:paraId="4111B59D">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202" w:type="pct"/>
            <w:vAlign w:val="center"/>
          </w:tcPr>
          <w:p w14:paraId="5F711B6E">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29CC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6622F326">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10</w:t>
            </w:r>
          </w:p>
        </w:tc>
        <w:tc>
          <w:tcPr>
            <w:tcW w:w="2175" w:type="pct"/>
            <w:gridSpan w:val="2"/>
            <w:vAlign w:val="center"/>
          </w:tcPr>
          <w:p w14:paraId="65D6F389">
            <w:pPr>
              <w:jc w:val="center"/>
              <w:rPr>
                <w:rFonts w:hint="default" w:ascii="Times New Roman" w:hAnsi="Times New Roman" w:cs="Times New Roman"/>
                <w:color w:val="000000"/>
                <w:kern w:val="0"/>
                <w:szCs w:val="21"/>
              </w:rPr>
            </w:pPr>
            <w:r>
              <w:rPr>
                <w:rFonts w:hint="default" w:ascii="Times New Roman" w:hAnsi="Times New Roman" w:cs="Times New Roman"/>
                <w:szCs w:val="21"/>
              </w:rPr>
              <w:t>甲醛含量</w:t>
            </w:r>
          </w:p>
        </w:tc>
        <w:tc>
          <w:tcPr>
            <w:tcW w:w="1180" w:type="pct"/>
            <w:vAlign w:val="center"/>
          </w:tcPr>
          <w:p w14:paraId="0249BCD8">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202" w:type="pct"/>
            <w:vAlign w:val="center"/>
          </w:tcPr>
          <w:p w14:paraId="61DE576D">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2C6D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30681466">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11</w:t>
            </w:r>
          </w:p>
        </w:tc>
        <w:tc>
          <w:tcPr>
            <w:tcW w:w="2175" w:type="pct"/>
            <w:gridSpan w:val="2"/>
            <w:vAlign w:val="center"/>
          </w:tcPr>
          <w:p w14:paraId="23E357FC">
            <w:pPr>
              <w:jc w:val="center"/>
              <w:rPr>
                <w:rFonts w:hint="default" w:ascii="Times New Roman" w:hAnsi="Times New Roman" w:cs="Times New Roman"/>
                <w:color w:val="000000"/>
                <w:kern w:val="0"/>
                <w:szCs w:val="21"/>
              </w:rPr>
            </w:pPr>
            <w:r>
              <w:rPr>
                <w:rFonts w:hint="default" w:ascii="Times New Roman" w:hAnsi="Times New Roman" w:cs="Times New Roman"/>
                <w:szCs w:val="21"/>
              </w:rPr>
              <w:t>可迁移性荧光物质</w:t>
            </w:r>
          </w:p>
        </w:tc>
        <w:tc>
          <w:tcPr>
            <w:tcW w:w="1180" w:type="pct"/>
            <w:vAlign w:val="center"/>
          </w:tcPr>
          <w:p w14:paraId="63B32A99">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202" w:type="pct"/>
            <w:vAlign w:val="center"/>
          </w:tcPr>
          <w:p w14:paraId="6B76176E">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75E6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40" w:type="pct"/>
            <w:tcBorders>
              <w:top w:val="single" w:color="auto" w:sz="4" w:space="0"/>
              <w:left w:val="single" w:color="auto" w:sz="4" w:space="0"/>
              <w:bottom w:val="single" w:color="auto" w:sz="4" w:space="0"/>
              <w:right w:val="single" w:color="auto" w:sz="4" w:space="0"/>
            </w:tcBorders>
            <w:vAlign w:val="center"/>
          </w:tcPr>
          <w:p w14:paraId="0B7A084E">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12</w:t>
            </w:r>
          </w:p>
        </w:tc>
        <w:tc>
          <w:tcPr>
            <w:tcW w:w="2175" w:type="pct"/>
            <w:gridSpan w:val="2"/>
            <w:tcBorders>
              <w:bottom w:val="single" w:color="auto" w:sz="4" w:space="0"/>
            </w:tcBorders>
            <w:vAlign w:val="center"/>
          </w:tcPr>
          <w:p w14:paraId="639D407F">
            <w:pPr>
              <w:jc w:val="center"/>
              <w:rPr>
                <w:rFonts w:hint="default" w:ascii="Times New Roman" w:hAnsi="Times New Roman" w:cs="Times New Roman"/>
                <w:szCs w:val="21"/>
              </w:rPr>
            </w:pPr>
            <w:r>
              <w:rPr>
                <w:rFonts w:hint="default" w:ascii="Times New Roman" w:hAnsi="Times New Roman" w:cs="Times New Roman"/>
                <w:szCs w:val="21"/>
              </w:rPr>
              <w:t>背胶剥离强度</w:t>
            </w:r>
          </w:p>
        </w:tc>
        <w:tc>
          <w:tcPr>
            <w:tcW w:w="1180" w:type="pct"/>
            <w:tcBorders>
              <w:bottom w:val="single" w:color="auto" w:sz="4" w:space="0"/>
            </w:tcBorders>
            <w:vAlign w:val="center"/>
          </w:tcPr>
          <w:p w14:paraId="22C02FC4">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202" w:type="pct"/>
            <w:tcBorders>
              <w:bottom w:val="single" w:color="auto" w:sz="4" w:space="0"/>
            </w:tcBorders>
            <w:vAlign w:val="center"/>
          </w:tcPr>
          <w:p w14:paraId="41F52DB2">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3CB6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5000" w:type="pct"/>
            <w:gridSpan w:val="5"/>
            <w:tcBorders>
              <w:top w:val="single" w:color="auto" w:sz="4" w:space="0"/>
              <w:left w:val="single" w:color="auto" w:sz="4" w:space="0"/>
              <w:bottom w:val="single" w:color="auto" w:sz="4" w:space="0"/>
            </w:tcBorders>
          </w:tcPr>
          <w:p w14:paraId="45D20DCE">
            <w:pPr>
              <w:jc w:val="left"/>
              <w:rPr>
                <w:rFonts w:hint="default" w:ascii="Times New Roman" w:hAnsi="Times New Roman" w:cs="Times New Roman"/>
                <w:szCs w:val="21"/>
                <w:lang w:eastAsia="zh-CN"/>
              </w:rPr>
            </w:pPr>
            <w:r>
              <w:rPr>
                <w:rFonts w:hint="default" w:ascii="Times New Roman" w:hAnsi="Times New Roman" w:cs="Times New Roman"/>
                <w:szCs w:val="21"/>
              </w:rPr>
              <w:t>注</w:t>
            </w:r>
            <w:r>
              <w:rPr>
                <w:rFonts w:hint="eastAsia" w:ascii="Times New Roman" w:hAnsi="Times New Roman" w:cs="Times New Roman"/>
                <w:szCs w:val="21"/>
                <w:lang w:eastAsia="zh-CN"/>
              </w:rPr>
              <w:t>：</w:t>
            </w:r>
          </w:p>
          <w:p w14:paraId="537D2F35">
            <w:pPr>
              <w:jc w:val="left"/>
              <w:rPr>
                <w:rFonts w:hint="default" w:ascii="Times New Roman" w:hAnsi="Times New Roman" w:cs="Times New Roman" w:eastAsiaTheme="minorEastAsia"/>
                <w:szCs w:val="21"/>
                <w:lang w:val="en-US" w:eastAsia="zh-CN"/>
              </w:rPr>
            </w:pPr>
            <w:r>
              <w:rPr>
                <w:rFonts w:hint="default" w:ascii="Times New Roman" w:hAnsi="Times New Roman" w:cs="Times New Roman"/>
                <w:szCs w:val="21"/>
                <w:lang w:val="en-US" w:eastAsia="zh-CN"/>
              </w:rPr>
              <w:t>a</w:t>
            </w:r>
            <w:r>
              <w:rPr>
                <w:rFonts w:hint="default" w:ascii="Times New Roman" w:hAnsi="Times New Roman" w:cs="Times New Roman"/>
                <w:szCs w:val="21"/>
              </w:rPr>
              <w:t>：</w:t>
            </w:r>
            <w:r>
              <w:rPr>
                <w:rFonts w:hint="default" w:ascii="Times New Roman" w:hAnsi="Times New Roman" w:cs="Times New Roman"/>
                <w:szCs w:val="21"/>
                <w:lang w:val="en-US" w:eastAsia="zh-CN"/>
              </w:rPr>
              <w:t>仅限卫生巾产品；</w:t>
            </w:r>
          </w:p>
          <w:p w14:paraId="3660DACB">
            <w:pPr>
              <w:jc w:val="left"/>
              <w:rPr>
                <w:rFonts w:hint="default" w:ascii="Times New Roman" w:hAnsi="Times New Roman" w:cs="Times New Roman"/>
                <w:szCs w:val="21"/>
              </w:rPr>
            </w:pPr>
            <w:r>
              <w:rPr>
                <w:rFonts w:hint="default" w:ascii="Times New Roman" w:hAnsi="Times New Roman" w:cs="Times New Roman"/>
                <w:szCs w:val="21"/>
              </w:rPr>
              <w:t>依据卫健委“卫监督发〔2005〕515号”《健康相关产品国家卫生监督抽检规定》第十九条“产品微生物指标超标的不予复检”的规定，微生物学指标项目（第1、2、3、4项）不予复检。</w:t>
            </w:r>
          </w:p>
        </w:tc>
      </w:tr>
    </w:tbl>
    <w:p w14:paraId="41145586">
      <w:pPr>
        <w:snapToGrid w:val="0"/>
        <w:spacing w:line="240" w:lineRule="auto"/>
        <w:jc w:val="center"/>
        <w:rPr>
          <w:rFonts w:hint="eastAsia" w:ascii="宋体" w:hAnsi="宋体"/>
          <w:szCs w:val="21"/>
        </w:rPr>
      </w:pPr>
    </w:p>
    <w:p w14:paraId="3D9B183C">
      <w:pPr>
        <w:snapToGrid w:val="0"/>
        <w:spacing w:line="440" w:lineRule="exact"/>
        <w:jc w:val="both"/>
        <w:rPr>
          <w:rFonts w:hint="default" w:ascii="Times New Roman" w:hAnsi="Times New Roman" w:cs="Times New Roman"/>
          <w:szCs w:val="21"/>
        </w:rPr>
      </w:pPr>
      <w:r>
        <w:rPr>
          <w:rFonts w:hint="default" w:ascii="Times New Roman" w:hAnsi="Times New Roman" w:cs="Times New Roman"/>
          <w:szCs w:val="21"/>
          <w:lang w:val="en-US" w:eastAsia="zh-CN"/>
        </w:rPr>
        <w:t>2.2</w:t>
      </w:r>
      <w:r>
        <w:rPr>
          <w:rFonts w:hint="default" w:ascii="Times New Roman" w:hAnsi="Times New Roman" w:cs="Times New Roman"/>
          <w:szCs w:val="21"/>
        </w:rPr>
        <w:t xml:space="preserve"> 卫生巾</w:t>
      </w:r>
      <w:r>
        <w:rPr>
          <w:rFonts w:hint="default" w:ascii="Times New Roman" w:hAnsi="Times New Roman" w:eastAsia="宋体" w:cs="Times New Roman"/>
          <w:sz w:val="22"/>
          <w:szCs w:val="28"/>
        </w:rPr>
        <w:t>（护垫）</w:t>
      </w:r>
      <w:r>
        <w:rPr>
          <w:rFonts w:hint="default" w:ascii="Times New Roman" w:hAnsi="Times New Roman" w:cs="Times New Roman"/>
          <w:szCs w:val="21"/>
        </w:rPr>
        <w:t>（GB 15979—20</w:t>
      </w:r>
      <w:r>
        <w:rPr>
          <w:rFonts w:ascii="Times New Roman" w:hAnsi="Times New Roman" w:cs="Times New Roman"/>
          <w:szCs w:val="21"/>
        </w:rPr>
        <w:t>24</w:t>
      </w: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bl>
      <w:tblPr>
        <w:tblStyle w:val="4"/>
        <w:tblW w:w="48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721"/>
        <w:gridCol w:w="3164"/>
        <w:gridCol w:w="2214"/>
        <w:gridCol w:w="2021"/>
      </w:tblGrid>
      <w:tr w14:paraId="107BF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14:paraId="01FD9615">
            <w:pPr>
              <w:jc w:val="center"/>
              <w:rPr>
                <w:rFonts w:hint="default" w:ascii="Times New Roman" w:hAnsi="Times New Roman" w:cs="Times New Roman"/>
                <w:szCs w:val="21"/>
              </w:rPr>
            </w:pPr>
            <w:r>
              <w:rPr>
                <w:rFonts w:ascii="Times New Roman" w:hAnsi="Times New Roman" w:cs="Times New Roman"/>
                <w:szCs w:val="21"/>
              </w:rPr>
              <w:t>序号</w:t>
            </w:r>
          </w:p>
        </w:tc>
        <w:tc>
          <w:tcPr>
            <w:tcW w:w="2199" w:type="pct"/>
            <w:gridSpan w:val="2"/>
            <w:vAlign w:val="center"/>
          </w:tcPr>
          <w:p w14:paraId="787366C3">
            <w:pPr>
              <w:jc w:val="center"/>
              <w:rPr>
                <w:rFonts w:hint="default" w:ascii="Times New Roman" w:hAnsi="Times New Roman" w:cs="Times New Roman"/>
                <w:szCs w:val="21"/>
              </w:rPr>
            </w:pPr>
            <w:r>
              <w:rPr>
                <w:rFonts w:ascii="Times New Roman" w:hAnsi="Times New Roman" w:cs="Times New Roman"/>
                <w:szCs w:val="21"/>
              </w:rPr>
              <w:t>检验项目</w:t>
            </w:r>
          </w:p>
        </w:tc>
        <w:tc>
          <w:tcPr>
            <w:tcW w:w="1253" w:type="pct"/>
            <w:vAlign w:val="center"/>
          </w:tcPr>
          <w:p w14:paraId="7E3A3D73">
            <w:pPr>
              <w:jc w:val="center"/>
              <w:rPr>
                <w:rFonts w:hint="default" w:ascii="Times New Roman" w:hAnsi="Times New Roman" w:cs="Times New Roman"/>
                <w:szCs w:val="21"/>
              </w:rPr>
            </w:pPr>
            <w:r>
              <w:rPr>
                <w:rFonts w:ascii="Times New Roman" w:hAnsi="Times New Roman" w:cs="Times New Roman"/>
                <w:szCs w:val="21"/>
              </w:rPr>
              <w:t>检验依据</w:t>
            </w:r>
          </w:p>
        </w:tc>
        <w:tc>
          <w:tcPr>
            <w:tcW w:w="1142" w:type="pct"/>
            <w:vAlign w:val="center"/>
          </w:tcPr>
          <w:p w14:paraId="1B546A3A">
            <w:pPr>
              <w:jc w:val="center"/>
              <w:rPr>
                <w:rFonts w:hint="default" w:ascii="Times New Roman" w:hAnsi="Times New Roman" w:cs="Times New Roman"/>
                <w:szCs w:val="21"/>
              </w:rPr>
            </w:pPr>
            <w:r>
              <w:rPr>
                <w:rFonts w:ascii="Times New Roman" w:hAnsi="Times New Roman" w:cs="Times New Roman"/>
                <w:szCs w:val="21"/>
              </w:rPr>
              <w:t>检验方法</w:t>
            </w:r>
          </w:p>
        </w:tc>
      </w:tr>
      <w:tr w14:paraId="58304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14:paraId="7F2DF929">
            <w:pPr>
              <w:autoSpaceDE w:val="0"/>
              <w:autoSpaceDN w:val="0"/>
              <w:jc w:val="center"/>
              <w:rPr>
                <w:rFonts w:hint="default" w:ascii="Times New Roman" w:hAnsi="Times New Roman" w:cs="Times New Roman"/>
                <w:color w:val="000000"/>
                <w:kern w:val="0"/>
                <w:szCs w:val="21"/>
              </w:rPr>
            </w:pPr>
            <w:r>
              <w:rPr>
                <w:rFonts w:ascii="Times New Roman" w:hAnsi="Times New Roman" w:cs="Times New Roman"/>
                <w:color w:val="000000"/>
                <w:kern w:val="0"/>
                <w:szCs w:val="21"/>
              </w:rPr>
              <w:t>1</w:t>
            </w:r>
          </w:p>
        </w:tc>
        <w:tc>
          <w:tcPr>
            <w:tcW w:w="408" w:type="pct"/>
            <w:vMerge w:val="restart"/>
            <w:vAlign w:val="center"/>
          </w:tcPr>
          <w:p w14:paraId="21BCA497">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微生物学指标</w:t>
            </w:r>
          </w:p>
        </w:tc>
        <w:tc>
          <w:tcPr>
            <w:tcW w:w="1791" w:type="pct"/>
            <w:vAlign w:val="center"/>
          </w:tcPr>
          <w:p w14:paraId="5D02F0B9">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细菌菌落总数</w:t>
            </w:r>
          </w:p>
        </w:tc>
        <w:tc>
          <w:tcPr>
            <w:tcW w:w="1253" w:type="pct"/>
            <w:vAlign w:val="center"/>
          </w:tcPr>
          <w:p w14:paraId="54D9C811">
            <w:pPr>
              <w:jc w:val="center"/>
              <w:rPr>
                <w:rFonts w:hint="default" w:ascii="Times New Roman" w:hAnsi="Times New Roman" w:cs="Times New Roman"/>
                <w:szCs w:val="21"/>
              </w:rPr>
            </w:pPr>
            <w:r>
              <w:rPr>
                <w:rFonts w:hint="default" w:ascii="Times New Roman" w:hAnsi="Times New Roman" w:cs="Times New Roman"/>
                <w:szCs w:val="21"/>
              </w:rPr>
              <w:t>GB 15979—2024</w:t>
            </w:r>
          </w:p>
        </w:tc>
        <w:tc>
          <w:tcPr>
            <w:tcW w:w="1142" w:type="pct"/>
            <w:vAlign w:val="center"/>
          </w:tcPr>
          <w:p w14:paraId="41DD0C5E">
            <w:pPr>
              <w:jc w:val="center"/>
              <w:rPr>
                <w:rFonts w:hint="default" w:ascii="Times New Roman" w:hAnsi="Times New Roman" w:cs="Times New Roman"/>
                <w:szCs w:val="21"/>
              </w:rPr>
            </w:pPr>
            <w:r>
              <w:rPr>
                <w:rFonts w:hint="default" w:ascii="Times New Roman" w:hAnsi="Times New Roman" w:cs="Times New Roman"/>
                <w:szCs w:val="21"/>
              </w:rPr>
              <w:t>GB 15979—2024</w:t>
            </w:r>
          </w:p>
        </w:tc>
      </w:tr>
      <w:tr w14:paraId="2B0C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jc w:val="center"/>
        </w:trPr>
        <w:tc>
          <w:tcPr>
            <w:tcW w:w="404" w:type="pct"/>
            <w:tcBorders>
              <w:left w:val="single" w:color="auto" w:sz="4" w:space="0"/>
              <w:right w:val="single" w:color="auto" w:sz="4" w:space="0"/>
            </w:tcBorders>
            <w:vAlign w:val="center"/>
          </w:tcPr>
          <w:p w14:paraId="4EAC686B">
            <w:pPr>
              <w:autoSpaceDE w:val="0"/>
              <w:autoSpaceDN w:val="0"/>
              <w:jc w:val="center"/>
              <w:rPr>
                <w:rFonts w:hint="default" w:ascii="Times New Roman" w:hAnsi="Times New Roman" w:cs="Times New Roman"/>
                <w:color w:val="000000"/>
                <w:kern w:val="0"/>
                <w:szCs w:val="21"/>
              </w:rPr>
            </w:pPr>
            <w:r>
              <w:rPr>
                <w:rFonts w:ascii="Times New Roman" w:hAnsi="Times New Roman" w:cs="Times New Roman"/>
                <w:color w:val="000000"/>
                <w:kern w:val="0"/>
                <w:szCs w:val="21"/>
              </w:rPr>
              <w:t>2</w:t>
            </w:r>
          </w:p>
        </w:tc>
        <w:tc>
          <w:tcPr>
            <w:tcW w:w="408" w:type="pct"/>
            <w:vMerge w:val="continue"/>
            <w:vAlign w:val="center"/>
          </w:tcPr>
          <w:p w14:paraId="472EBD38">
            <w:pPr>
              <w:autoSpaceDE w:val="0"/>
              <w:autoSpaceDN w:val="0"/>
              <w:jc w:val="center"/>
              <w:rPr>
                <w:rFonts w:hint="default" w:ascii="Times New Roman" w:hAnsi="Times New Roman" w:cs="Times New Roman"/>
                <w:color w:val="000000"/>
                <w:kern w:val="0"/>
                <w:szCs w:val="21"/>
              </w:rPr>
            </w:pPr>
          </w:p>
        </w:tc>
        <w:tc>
          <w:tcPr>
            <w:tcW w:w="1791" w:type="pct"/>
            <w:vAlign w:val="center"/>
          </w:tcPr>
          <w:p w14:paraId="671DD9D8">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szCs w:val="21"/>
              </w:rPr>
              <w:t>特定微生物（</w:t>
            </w:r>
            <w:r>
              <w:rPr>
                <w:rFonts w:hint="default" w:ascii="Times New Roman" w:hAnsi="Times New Roman" w:cs="Times New Roman"/>
                <w:color w:val="000000"/>
                <w:kern w:val="0"/>
                <w:szCs w:val="21"/>
              </w:rPr>
              <w:t>大肠菌群、</w:t>
            </w:r>
            <w:r>
              <w:rPr>
                <w:rFonts w:hint="default" w:ascii="Times New Roman" w:hAnsi="Times New Roman" w:cs="Times New Roman"/>
                <w:szCs w:val="21"/>
              </w:rPr>
              <w:t>铜绿假单胞菌、金黄色葡萄球菌、溶血性链球菌）</w:t>
            </w:r>
          </w:p>
        </w:tc>
        <w:tc>
          <w:tcPr>
            <w:tcW w:w="1253" w:type="pct"/>
            <w:vAlign w:val="center"/>
          </w:tcPr>
          <w:p w14:paraId="7F3B1EC3">
            <w:pPr>
              <w:jc w:val="center"/>
              <w:rPr>
                <w:rFonts w:hint="default" w:ascii="Times New Roman" w:hAnsi="Times New Roman" w:cs="Times New Roman"/>
                <w:szCs w:val="21"/>
              </w:rPr>
            </w:pPr>
            <w:r>
              <w:rPr>
                <w:rFonts w:hint="default" w:ascii="Times New Roman" w:hAnsi="Times New Roman" w:cs="Times New Roman"/>
                <w:szCs w:val="21"/>
              </w:rPr>
              <w:t>GB 15979—2024</w:t>
            </w:r>
          </w:p>
        </w:tc>
        <w:tc>
          <w:tcPr>
            <w:tcW w:w="1142" w:type="pct"/>
            <w:vAlign w:val="center"/>
          </w:tcPr>
          <w:p w14:paraId="1A18233E">
            <w:pPr>
              <w:jc w:val="center"/>
              <w:rPr>
                <w:rFonts w:hint="default" w:ascii="Times New Roman" w:hAnsi="Times New Roman" w:cs="Times New Roman"/>
                <w:szCs w:val="21"/>
              </w:rPr>
            </w:pPr>
            <w:r>
              <w:rPr>
                <w:rFonts w:hint="default" w:ascii="Times New Roman" w:hAnsi="Times New Roman" w:cs="Times New Roman"/>
                <w:szCs w:val="21"/>
              </w:rPr>
              <w:t>GB 15979—2024</w:t>
            </w:r>
          </w:p>
        </w:tc>
      </w:tr>
      <w:tr w14:paraId="1E81B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left w:val="single" w:color="auto" w:sz="4" w:space="0"/>
              <w:bottom w:val="single" w:color="auto" w:sz="4" w:space="0"/>
              <w:right w:val="single" w:color="auto" w:sz="4" w:space="0"/>
            </w:tcBorders>
            <w:vAlign w:val="center"/>
          </w:tcPr>
          <w:p w14:paraId="214F1543">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3</w:t>
            </w:r>
          </w:p>
        </w:tc>
        <w:tc>
          <w:tcPr>
            <w:tcW w:w="408" w:type="pct"/>
            <w:vMerge w:val="continue"/>
            <w:vAlign w:val="center"/>
          </w:tcPr>
          <w:p w14:paraId="71EF640F">
            <w:pPr>
              <w:autoSpaceDE w:val="0"/>
              <w:autoSpaceDN w:val="0"/>
              <w:jc w:val="center"/>
              <w:rPr>
                <w:rFonts w:hint="default" w:ascii="Times New Roman" w:hAnsi="Times New Roman" w:cs="Times New Roman"/>
                <w:color w:val="000000"/>
                <w:kern w:val="0"/>
                <w:szCs w:val="21"/>
              </w:rPr>
            </w:pPr>
          </w:p>
        </w:tc>
        <w:tc>
          <w:tcPr>
            <w:tcW w:w="1791" w:type="pct"/>
            <w:vAlign w:val="center"/>
          </w:tcPr>
          <w:p w14:paraId="07DE808C">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szCs w:val="21"/>
              </w:rPr>
              <w:t>真菌菌落总数</w:t>
            </w:r>
          </w:p>
        </w:tc>
        <w:tc>
          <w:tcPr>
            <w:tcW w:w="1253" w:type="pct"/>
            <w:vAlign w:val="center"/>
          </w:tcPr>
          <w:p w14:paraId="7DF64050">
            <w:pPr>
              <w:jc w:val="center"/>
              <w:rPr>
                <w:rFonts w:hint="default" w:ascii="Times New Roman" w:hAnsi="Times New Roman" w:cs="Times New Roman"/>
                <w:szCs w:val="21"/>
              </w:rPr>
            </w:pPr>
            <w:r>
              <w:rPr>
                <w:rFonts w:hint="default" w:ascii="Times New Roman" w:hAnsi="Times New Roman" w:cs="Times New Roman"/>
                <w:szCs w:val="21"/>
              </w:rPr>
              <w:t>GB 15979—2024</w:t>
            </w:r>
          </w:p>
        </w:tc>
        <w:tc>
          <w:tcPr>
            <w:tcW w:w="1142" w:type="pct"/>
            <w:vAlign w:val="center"/>
          </w:tcPr>
          <w:p w14:paraId="6B0E4BE0">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15979—2024</w:t>
            </w:r>
          </w:p>
        </w:tc>
      </w:tr>
      <w:tr w14:paraId="6B1A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left w:val="single" w:color="auto" w:sz="4" w:space="0"/>
              <w:bottom w:val="single" w:color="auto" w:sz="4" w:space="0"/>
              <w:right w:val="single" w:color="auto" w:sz="4" w:space="0"/>
            </w:tcBorders>
            <w:vAlign w:val="center"/>
          </w:tcPr>
          <w:p w14:paraId="70A243C2">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4</w:t>
            </w:r>
          </w:p>
        </w:tc>
        <w:tc>
          <w:tcPr>
            <w:tcW w:w="2199" w:type="pct"/>
            <w:gridSpan w:val="2"/>
            <w:vAlign w:val="center"/>
          </w:tcPr>
          <w:p w14:paraId="1C0E591F">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全长偏差</w:t>
            </w:r>
          </w:p>
        </w:tc>
        <w:tc>
          <w:tcPr>
            <w:tcW w:w="1253" w:type="pct"/>
            <w:vAlign w:val="center"/>
          </w:tcPr>
          <w:p w14:paraId="6D7DC69C">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142" w:type="pct"/>
            <w:vAlign w:val="center"/>
          </w:tcPr>
          <w:p w14:paraId="0D395266">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1F5C9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left w:val="single" w:color="auto" w:sz="4" w:space="0"/>
              <w:bottom w:val="single" w:color="auto" w:sz="4" w:space="0"/>
              <w:right w:val="single" w:color="auto" w:sz="4" w:space="0"/>
            </w:tcBorders>
            <w:vAlign w:val="center"/>
          </w:tcPr>
          <w:p w14:paraId="7F220B59">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5</w:t>
            </w:r>
          </w:p>
        </w:tc>
        <w:tc>
          <w:tcPr>
            <w:tcW w:w="2199" w:type="pct"/>
            <w:gridSpan w:val="2"/>
            <w:vAlign w:val="center"/>
          </w:tcPr>
          <w:p w14:paraId="581A536F">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条质量偏差</w:t>
            </w:r>
            <w:r>
              <w:rPr>
                <w:rFonts w:hint="default" w:ascii="Times New Roman" w:hAnsi="Times New Roman" w:cs="Times New Roman"/>
                <w:szCs w:val="21"/>
                <w:vertAlign w:val="superscript"/>
              </w:rPr>
              <w:t>a</w:t>
            </w:r>
          </w:p>
        </w:tc>
        <w:tc>
          <w:tcPr>
            <w:tcW w:w="1253" w:type="pct"/>
            <w:vAlign w:val="center"/>
          </w:tcPr>
          <w:p w14:paraId="04FFBE24">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142" w:type="pct"/>
            <w:vAlign w:val="center"/>
          </w:tcPr>
          <w:p w14:paraId="622E255F">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034D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14:paraId="3D93046B">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w:t>
            </w:r>
          </w:p>
        </w:tc>
        <w:tc>
          <w:tcPr>
            <w:tcW w:w="2199" w:type="pct"/>
            <w:gridSpan w:val="2"/>
            <w:vAlign w:val="center"/>
          </w:tcPr>
          <w:p w14:paraId="4C1D46D3">
            <w:pPr>
              <w:jc w:val="center"/>
              <w:rPr>
                <w:rFonts w:hint="default" w:ascii="Times New Roman" w:hAnsi="Times New Roman" w:cs="Times New Roman"/>
                <w:color w:val="000000"/>
                <w:kern w:val="0"/>
                <w:szCs w:val="21"/>
              </w:rPr>
            </w:pPr>
            <w:r>
              <w:rPr>
                <w:rFonts w:hint="default" w:ascii="Times New Roman" w:hAnsi="Times New Roman" w:cs="Times New Roman"/>
                <w:szCs w:val="21"/>
              </w:rPr>
              <w:t>吸水倍率</w:t>
            </w:r>
          </w:p>
        </w:tc>
        <w:tc>
          <w:tcPr>
            <w:tcW w:w="1253" w:type="pct"/>
            <w:vAlign w:val="center"/>
          </w:tcPr>
          <w:p w14:paraId="1A32F135">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142" w:type="pct"/>
            <w:vAlign w:val="center"/>
          </w:tcPr>
          <w:p w14:paraId="2F5C4EF4">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4E70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14:paraId="56B8F90E">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7</w:t>
            </w:r>
          </w:p>
        </w:tc>
        <w:tc>
          <w:tcPr>
            <w:tcW w:w="2199" w:type="pct"/>
            <w:gridSpan w:val="2"/>
            <w:vAlign w:val="center"/>
          </w:tcPr>
          <w:p w14:paraId="11377B56">
            <w:pPr>
              <w:jc w:val="center"/>
              <w:rPr>
                <w:rFonts w:hint="default" w:ascii="Times New Roman" w:hAnsi="Times New Roman" w:cs="Times New Roman"/>
                <w:color w:val="000000"/>
                <w:kern w:val="0"/>
                <w:szCs w:val="21"/>
              </w:rPr>
            </w:pPr>
            <w:r>
              <w:rPr>
                <w:rFonts w:hint="default" w:ascii="Times New Roman" w:hAnsi="Times New Roman" w:cs="Times New Roman"/>
                <w:szCs w:val="21"/>
              </w:rPr>
              <w:t>吸收速度</w:t>
            </w:r>
            <w:r>
              <w:rPr>
                <w:rFonts w:hint="default" w:ascii="Times New Roman" w:hAnsi="Times New Roman" w:cs="Times New Roman"/>
                <w:szCs w:val="21"/>
                <w:vertAlign w:val="superscript"/>
              </w:rPr>
              <w:t>a</w:t>
            </w:r>
          </w:p>
        </w:tc>
        <w:tc>
          <w:tcPr>
            <w:tcW w:w="1253" w:type="pct"/>
            <w:vAlign w:val="center"/>
          </w:tcPr>
          <w:p w14:paraId="18835648">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142" w:type="pct"/>
            <w:vAlign w:val="center"/>
          </w:tcPr>
          <w:p w14:paraId="0191B8F0">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785C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14:paraId="4EBE9502">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8</w:t>
            </w:r>
          </w:p>
        </w:tc>
        <w:tc>
          <w:tcPr>
            <w:tcW w:w="2199" w:type="pct"/>
            <w:gridSpan w:val="2"/>
            <w:vAlign w:val="center"/>
          </w:tcPr>
          <w:p w14:paraId="006739EF">
            <w:pPr>
              <w:jc w:val="center"/>
              <w:rPr>
                <w:rFonts w:hint="default" w:ascii="Times New Roman" w:hAnsi="Times New Roman" w:cs="Times New Roman"/>
                <w:color w:val="000000"/>
                <w:kern w:val="0"/>
                <w:szCs w:val="21"/>
              </w:rPr>
            </w:pPr>
            <w:r>
              <w:rPr>
                <w:rFonts w:hint="default" w:ascii="Times New Roman" w:hAnsi="Times New Roman" w:cs="Times New Roman"/>
                <w:szCs w:val="21"/>
              </w:rPr>
              <w:t>pH</w:t>
            </w:r>
          </w:p>
        </w:tc>
        <w:tc>
          <w:tcPr>
            <w:tcW w:w="1253" w:type="pct"/>
            <w:vAlign w:val="center"/>
          </w:tcPr>
          <w:p w14:paraId="13262EE3">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142" w:type="pct"/>
            <w:vAlign w:val="center"/>
          </w:tcPr>
          <w:p w14:paraId="3AE1829F">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3498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14:paraId="20DF2524">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9</w:t>
            </w:r>
          </w:p>
        </w:tc>
        <w:tc>
          <w:tcPr>
            <w:tcW w:w="2199" w:type="pct"/>
            <w:gridSpan w:val="2"/>
            <w:vAlign w:val="center"/>
          </w:tcPr>
          <w:p w14:paraId="2BA0A9ED">
            <w:pPr>
              <w:jc w:val="center"/>
              <w:rPr>
                <w:rFonts w:hint="default" w:ascii="Times New Roman" w:hAnsi="Times New Roman" w:cs="Times New Roman"/>
                <w:color w:val="000000"/>
                <w:kern w:val="0"/>
                <w:szCs w:val="21"/>
              </w:rPr>
            </w:pPr>
            <w:r>
              <w:rPr>
                <w:rFonts w:hint="default" w:ascii="Times New Roman" w:hAnsi="Times New Roman" w:cs="Times New Roman"/>
                <w:szCs w:val="21"/>
              </w:rPr>
              <w:t>甲醛含量</w:t>
            </w:r>
          </w:p>
        </w:tc>
        <w:tc>
          <w:tcPr>
            <w:tcW w:w="1253" w:type="pct"/>
            <w:vAlign w:val="center"/>
          </w:tcPr>
          <w:p w14:paraId="4DA3A663">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142" w:type="pct"/>
            <w:vAlign w:val="center"/>
          </w:tcPr>
          <w:p w14:paraId="1A331423">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7332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14:paraId="4DE82D08">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10</w:t>
            </w:r>
          </w:p>
        </w:tc>
        <w:tc>
          <w:tcPr>
            <w:tcW w:w="2199" w:type="pct"/>
            <w:gridSpan w:val="2"/>
            <w:vAlign w:val="center"/>
          </w:tcPr>
          <w:p w14:paraId="5F147D0C">
            <w:pPr>
              <w:jc w:val="center"/>
              <w:rPr>
                <w:rFonts w:hint="default" w:ascii="Times New Roman" w:hAnsi="Times New Roman" w:cs="Times New Roman"/>
                <w:color w:val="000000"/>
                <w:kern w:val="0"/>
                <w:szCs w:val="21"/>
              </w:rPr>
            </w:pPr>
            <w:r>
              <w:rPr>
                <w:rFonts w:hint="default" w:ascii="Times New Roman" w:hAnsi="Times New Roman" w:cs="Times New Roman"/>
                <w:szCs w:val="21"/>
              </w:rPr>
              <w:t>可迁移性荧光物质</w:t>
            </w:r>
          </w:p>
        </w:tc>
        <w:tc>
          <w:tcPr>
            <w:tcW w:w="1253" w:type="pct"/>
            <w:vAlign w:val="center"/>
          </w:tcPr>
          <w:p w14:paraId="300E19D7">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142" w:type="pct"/>
            <w:vAlign w:val="center"/>
          </w:tcPr>
          <w:p w14:paraId="280216D6">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13080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4" w:type="pct"/>
            <w:tcBorders>
              <w:top w:val="single" w:color="auto" w:sz="4" w:space="0"/>
              <w:left w:val="single" w:color="auto" w:sz="4" w:space="0"/>
              <w:bottom w:val="single" w:color="auto" w:sz="4" w:space="0"/>
              <w:right w:val="single" w:color="auto" w:sz="4" w:space="0"/>
            </w:tcBorders>
            <w:vAlign w:val="center"/>
          </w:tcPr>
          <w:p w14:paraId="01B0DC65">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11</w:t>
            </w:r>
          </w:p>
        </w:tc>
        <w:tc>
          <w:tcPr>
            <w:tcW w:w="2199" w:type="pct"/>
            <w:gridSpan w:val="2"/>
            <w:tcBorders>
              <w:bottom w:val="single" w:color="auto" w:sz="4" w:space="0"/>
            </w:tcBorders>
            <w:vAlign w:val="center"/>
          </w:tcPr>
          <w:p w14:paraId="7903B2E1">
            <w:pPr>
              <w:jc w:val="center"/>
              <w:rPr>
                <w:rFonts w:hint="default" w:ascii="Times New Roman" w:hAnsi="Times New Roman" w:cs="Times New Roman"/>
                <w:szCs w:val="21"/>
              </w:rPr>
            </w:pPr>
            <w:r>
              <w:rPr>
                <w:rFonts w:hint="default" w:ascii="Times New Roman" w:hAnsi="Times New Roman" w:cs="Times New Roman"/>
                <w:szCs w:val="21"/>
              </w:rPr>
              <w:t>背胶剥离强度</w:t>
            </w:r>
          </w:p>
        </w:tc>
        <w:tc>
          <w:tcPr>
            <w:tcW w:w="1253" w:type="pct"/>
            <w:tcBorders>
              <w:bottom w:val="single" w:color="auto" w:sz="4" w:space="0"/>
            </w:tcBorders>
            <w:vAlign w:val="center"/>
          </w:tcPr>
          <w:p w14:paraId="1DF257AE">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c>
          <w:tcPr>
            <w:tcW w:w="1142" w:type="pct"/>
            <w:tcBorders>
              <w:bottom w:val="single" w:color="auto" w:sz="4" w:space="0"/>
            </w:tcBorders>
            <w:vAlign w:val="center"/>
          </w:tcPr>
          <w:p w14:paraId="751A7504">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2018</w:t>
            </w:r>
          </w:p>
        </w:tc>
      </w:tr>
      <w:tr w14:paraId="52FB7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5000" w:type="pct"/>
            <w:gridSpan w:val="5"/>
            <w:tcBorders>
              <w:top w:val="single" w:color="auto" w:sz="4" w:space="0"/>
              <w:left w:val="single" w:color="auto" w:sz="4" w:space="0"/>
              <w:bottom w:val="single" w:color="auto" w:sz="4" w:space="0"/>
            </w:tcBorders>
          </w:tcPr>
          <w:p w14:paraId="1FF9C491">
            <w:pPr>
              <w:jc w:val="left"/>
              <w:rPr>
                <w:rFonts w:hint="default" w:ascii="Times New Roman" w:hAnsi="Times New Roman" w:cs="Times New Roman"/>
                <w:szCs w:val="21"/>
              </w:rPr>
            </w:pPr>
            <w:r>
              <w:rPr>
                <w:rFonts w:hint="default" w:ascii="Times New Roman" w:hAnsi="Times New Roman" w:cs="Times New Roman"/>
                <w:szCs w:val="21"/>
              </w:rPr>
              <w:t>注：</w:t>
            </w:r>
          </w:p>
          <w:p w14:paraId="736DC656">
            <w:pPr>
              <w:jc w:val="left"/>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a</w:t>
            </w:r>
            <w:r>
              <w:rPr>
                <w:rFonts w:hint="default" w:ascii="Times New Roman" w:hAnsi="Times New Roman" w:cs="Times New Roman"/>
                <w:szCs w:val="21"/>
              </w:rPr>
              <w:t>：</w:t>
            </w:r>
            <w:r>
              <w:rPr>
                <w:rFonts w:hint="default" w:ascii="Times New Roman" w:hAnsi="Times New Roman" w:cs="Times New Roman"/>
                <w:szCs w:val="21"/>
                <w:lang w:val="en-US" w:eastAsia="zh-CN"/>
              </w:rPr>
              <w:t>仅限卫生巾产品；</w:t>
            </w:r>
          </w:p>
          <w:p w14:paraId="36F0E7DA">
            <w:pPr>
              <w:jc w:val="left"/>
              <w:rPr>
                <w:rFonts w:hint="default" w:ascii="Times New Roman" w:hAnsi="Times New Roman" w:cs="Times New Roman"/>
                <w:szCs w:val="21"/>
              </w:rPr>
            </w:pPr>
            <w:r>
              <w:rPr>
                <w:rFonts w:hint="default" w:ascii="Times New Roman" w:hAnsi="Times New Roman" w:cs="Times New Roman"/>
                <w:szCs w:val="21"/>
              </w:rPr>
              <w:t>依据卫健委“卫监督发〔2005〕515号”《健康相关产品国家卫生监督抽检规定》第十九条“产品微生物指标超标的不予复检”的规定，微生物学指标项目（第1、2、3项）不予复检。</w:t>
            </w:r>
          </w:p>
        </w:tc>
      </w:tr>
    </w:tbl>
    <w:p w14:paraId="1967899F">
      <w:pPr>
        <w:spacing w:line="240" w:lineRule="auto"/>
        <w:jc w:val="both"/>
        <w:rPr>
          <w:rFonts w:hint="default" w:ascii="Times New Roman" w:hAnsi="Times New Roman" w:cs="Times New Roman"/>
          <w:szCs w:val="21"/>
          <w:lang w:val="en-US" w:eastAsia="zh-CN"/>
        </w:rPr>
      </w:pPr>
    </w:p>
    <w:p w14:paraId="5F275064">
      <w:pPr>
        <w:spacing w:line="520" w:lineRule="exact"/>
        <w:jc w:val="both"/>
        <w:rPr>
          <w:rFonts w:ascii="Times New Roman" w:hAnsi="Times New Roman" w:cs="Times New Roman"/>
          <w:szCs w:val="21"/>
        </w:rPr>
      </w:pPr>
      <w:r>
        <w:rPr>
          <w:rFonts w:hint="default" w:ascii="Times New Roman" w:hAnsi="Times New Roman" w:cs="Times New Roman"/>
          <w:szCs w:val="21"/>
          <w:lang w:val="en-US" w:eastAsia="zh-CN"/>
        </w:rPr>
        <w:t xml:space="preserve">2.3 </w:t>
      </w:r>
      <w:r>
        <w:rPr>
          <w:rFonts w:hint="default" w:ascii="Times New Roman" w:hAnsi="Times New Roman" w:cs="Times New Roman"/>
          <w:szCs w:val="21"/>
        </w:rPr>
        <w:t>卫生巾</w:t>
      </w:r>
      <w:r>
        <w:rPr>
          <w:rFonts w:hint="default" w:ascii="Times New Roman" w:hAnsi="Times New Roman" w:eastAsia="宋体" w:cs="Times New Roman"/>
          <w:sz w:val="22"/>
          <w:szCs w:val="28"/>
        </w:rPr>
        <w:t>（护垫）</w:t>
      </w:r>
      <w:r>
        <w:rPr>
          <w:rFonts w:hint="default" w:ascii="Times New Roman" w:hAnsi="Times New Roman" w:cs="Times New Roman"/>
          <w:szCs w:val="21"/>
        </w:rPr>
        <w:t>（GB 15979—20</w:t>
      </w:r>
      <w:r>
        <w:rPr>
          <w:rFonts w:ascii="Times New Roman" w:hAnsi="Times New Roman" w:cs="Times New Roman"/>
          <w:szCs w:val="21"/>
        </w:rPr>
        <w:t>24</w:t>
      </w: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999"/>
        <w:gridCol w:w="730"/>
        <w:gridCol w:w="2162"/>
        <w:gridCol w:w="2115"/>
        <w:gridCol w:w="2325"/>
        <w:tblGridChange w:id="1">
          <w:tblGrid>
            <w:gridCol w:w="730"/>
            <w:gridCol w:w="306"/>
            <w:gridCol w:w="693"/>
            <w:gridCol w:w="730"/>
            <w:gridCol w:w="2162"/>
            <w:gridCol w:w="2115"/>
            <w:gridCol w:w="2325"/>
          </w:tblGrid>
        </w:tblGridChange>
      </w:tblGrid>
      <w:tr w14:paraId="03474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46DC0A3E">
            <w:pPr>
              <w:jc w:val="center"/>
              <w:rPr>
                <w:rFonts w:hint="default" w:ascii="Times New Roman" w:hAnsi="Times New Roman" w:cs="Times New Roman"/>
                <w:szCs w:val="21"/>
              </w:rPr>
            </w:pPr>
            <w:r>
              <w:rPr>
                <w:rFonts w:ascii="Times New Roman" w:hAnsi="Times New Roman" w:cs="Times New Roman"/>
                <w:szCs w:val="21"/>
              </w:rPr>
              <w:t>序号</w:t>
            </w:r>
          </w:p>
        </w:tc>
        <w:tc>
          <w:tcPr>
            <w:tcW w:w="2147" w:type="pct"/>
            <w:gridSpan w:val="3"/>
            <w:vAlign w:val="center"/>
          </w:tcPr>
          <w:p w14:paraId="0281C89D">
            <w:pPr>
              <w:jc w:val="center"/>
              <w:rPr>
                <w:rFonts w:hint="default" w:ascii="Times New Roman" w:hAnsi="Times New Roman" w:cs="Times New Roman"/>
                <w:szCs w:val="21"/>
              </w:rPr>
            </w:pPr>
            <w:r>
              <w:rPr>
                <w:rFonts w:ascii="Times New Roman" w:hAnsi="Times New Roman" w:cs="Times New Roman"/>
                <w:szCs w:val="21"/>
              </w:rPr>
              <w:t>检验项目</w:t>
            </w:r>
          </w:p>
        </w:tc>
        <w:tc>
          <w:tcPr>
            <w:tcW w:w="1167" w:type="pct"/>
            <w:vAlign w:val="center"/>
          </w:tcPr>
          <w:p w14:paraId="47F9EB94">
            <w:pPr>
              <w:jc w:val="center"/>
              <w:rPr>
                <w:rFonts w:hint="default" w:ascii="Times New Roman" w:hAnsi="Times New Roman" w:cs="Times New Roman"/>
                <w:szCs w:val="21"/>
              </w:rPr>
            </w:pPr>
            <w:r>
              <w:rPr>
                <w:rFonts w:ascii="Times New Roman" w:hAnsi="Times New Roman" w:cs="Times New Roman"/>
                <w:szCs w:val="21"/>
              </w:rPr>
              <w:t>检验依据</w:t>
            </w:r>
          </w:p>
        </w:tc>
        <w:tc>
          <w:tcPr>
            <w:tcW w:w="1281" w:type="pct"/>
            <w:vAlign w:val="center"/>
          </w:tcPr>
          <w:p w14:paraId="59CF5D9D">
            <w:pPr>
              <w:jc w:val="center"/>
              <w:rPr>
                <w:rFonts w:hint="default" w:ascii="Times New Roman" w:hAnsi="Times New Roman" w:cs="Times New Roman"/>
                <w:szCs w:val="21"/>
              </w:rPr>
            </w:pPr>
            <w:r>
              <w:rPr>
                <w:rFonts w:ascii="Times New Roman" w:hAnsi="Times New Roman" w:cs="Times New Roman"/>
                <w:szCs w:val="21"/>
              </w:rPr>
              <w:t>检验方法</w:t>
            </w:r>
          </w:p>
        </w:tc>
      </w:tr>
      <w:tr w14:paraId="382A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5F8260FD">
            <w:pPr>
              <w:autoSpaceDE w:val="0"/>
              <w:autoSpaceDN w:val="0"/>
              <w:jc w:val="center"/>
              <w:rPr>
                <w:rFonts w:hint="default" w:ascii="Times New Roman" w:hAnsi="Times New Roman" w:cs="Times New Roman"/>
                <w:color w:val="000000"/>
                <w:kern w:val="0"/>
                <w:szCs w:val="21"/>
              </w:rPr>
            </w:pPr>
            <w:r>
              <w:rPr>
                <w:rFonts w:ascii="Times New Roman" w:hAnsi="Times New Roman" w:cs="Times New Roman"/>
                <w:color w:val="000000"/>
                <w:kern w:val="0"/>
                <w:szCs w:val="21"/>
              </w:rPr>
              <w:t>1</w:t>
            </w:r>
          </w:p>
        </w:tc>
        <w:tc>
          <w:tcPr>
            <w:tcW w:w="551" w:type="pct"/>
            <w:vMerge w:val="restart"/>
            <w:vAlign w:val="center"/>
          </w:tcPr>
          <w:p w14:paraId="27CFB8BC">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微生物学指标</w:t>
            </w:r>
          </w:p>
        </w:tc>
        <w:tc>
          <w:tcPr>
            <w:tcW w:w="1595" w:type="pct"/>
            <w:gridSpan w:val="2"/>
            <w:vAlign w:val="center"/>
          </w:tcPr>
          <w:p w14:paraId="66EEC136">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细菌菌落总数</w:t>
            </w:r>
          </w:p>
        </w:tc>
        <w:tc>
          <w:tcPr>
            <w:tcW w:w="1167" w:type="pct"/>
            <w:vAlign w:val="center"/>
          </w:tcPr>
          <w:p w14:paraId="7077284E">
            <w:pPr>
              <w:jc w:val="center"/>
              <w:rPr>
                <w:rFonts w:hint="default" w:ascii="Times New Roman" w:hAnsi="Times New Roman" w:cs="Times New Roman"/>
                <w:szCs w:val="21"/>
              </w:rPr>
            </w:pPr>
            <w:r>
              <w:rPr>
                <w:rFonts w:hint="default" w:ascii="Times New Roman" w:hAnsi="Times New Roman" w:cs="Times New Roman"/>
                <w:szCs w:val="21"/>
              </w:rPr>
              <w:t>GB 15979—2024</w:t>
            </w:r>
          </w:p>
        </w:tc>
        <w:tc>
          <w:tcPr>
            <w:tcW w:w="1281" w:type="pct"/>
            <w:vAlign w:val="center"/>
          </w:tcPr>
          <w:p w14:paraId="2652238F">
            <w:pPr>
              <w:jc w:val="center"/>
              <w:rPr>
                <w:rFonts w:hint="default" w:ascii="Times New Roman" w:hAnsi="Times New Roman" w:cs="Times New Roman"/>
                <w:szCs w:val="21"/>
              </w:rPr>
            </w:pPr>
            <w:r>
              <w:rPr>
                <w:rFonts w:hint="default" w:ascii="Times New Roman" w:hAnsi="Times New Roman" w:cs="Times New Roman"/>
                <w:szCs w:val="21"/>
              </w:rPr>
              <w:t>GB 15979—2024</w:t>
            </w:r>
          </w:p>
        </w:tc>
      </w:tr>
      <w:tr w14:paraId="1F110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jc w:val="center"/>
        </w:trPr>
        <w:tc>
          <w:tcPr>
            <w:tcW w:w="403" w:type="pct"/>
            <w:tcBorders>
              <w:left w:val="single" w:color="auto" w:sz="4" w:space="0"/>
              <w:right w:val="single" w:color="auto" w:sz="4" w:space="0"/>
            </w:tcBorders>
            <w:vAlign w:val="center"/>
          </w:tcPr>
          <w:p w14:paraId="6415E1B5">
            <w:pPr>
              <w:autoSpaceDE w:val="0"/>
              <w:autoSpaceDN w:val="0"/>
              <w:jc w:val="center"/>
              <w:rPr>
                <w:rFonts w:hint="default" w:ascii="Times New Roman" w:hAnsi="Times New Roman" w:cs="Times New Roman"/>
                <w:color w:val="000000"/>
                <w:kern w:val="0"/>
                <w:szCs w:val="21"/>
              </w:rPr>
            </w:pPr>
            <w:r>
              <w:rPr>
                <w:rFonts w:ascii="Times New Roman" w:hAnsi="Times New Roman" w:cs="Times New Roman"/>
                <w:color w:val="000000"/>
                <w:kern w:val="0"/>
                <w:szCs w:val="21"/>
              </w:rPr>
              <w:t>2</w:t>
            </w:r>
          </w:p>
        </w:tc>
        <w:tc>
          <w:tcPr>
            <w:tcW w:w="551" w:type="pct"/>
            <w:vMerge w:val="continue"/>
            <w:vAlign w:val="center"/>
          </w:tcPr>
          <w:p w14:paraId="3680D76A">
            <w:pPr>
              <w:autoSpaceDE w:val="0"/>
              <w:autoSpaceDN w:val="0"/>
              <w:jc w:val="center"/>
              <w:rPr>
                <w:rFonts w:hint="default" w:ascii="Times New Roman" w:hAnsi="Times New Roman" w:cs="Times New Roman"/>
                <w:color w:val="000000"/>
                <w:kern w:val="0"/>
                <w:szCs w:val="21"/>
              </w:rPr>
            </w:pPr>
          </w:p>
        </w:tc>
        <w:tc>
          <w:tcPr>
            <w:tcW w:w="1595" w:type="pct"/>
            <w:gridSpan w:val="2"/>
            <w:vAlign w:val="center"/>
          </w:tcPr>
          <w:p w14:paraId="07D4BE40">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szCs w:val="21"/>
              </w:rPr>
              <w:t>特定微生物（</w:t>
            </w:r>
            <w:r>
              <w:rPr>
                <w:rFonts w:hint="default" w:ascii="Times New Roman" w:hAnsi="Times New Roman" w:cs="Times New Roman"/>
                <w:color w:val="000000"/>
                <w:kern w:val="0"/>
                <w:szCs w:val="21"/>
              </w:rPr>
              <w:t>大肠菌群、</w:t>
            </w:r>
            <w:r>
              <w:rPr>
                <w:rFonts w:hint="default" w:ascii="Times New Roman" w:hAnsi="Times New Roman" w:cs="Times New Roman"/>
                <w:szCs w:val="21"/>
              </w:rPr>
              <w:t>铜绿假单胞菌、金黄色葡萄球菌、溶血性链球菌）</w:t>
            </w:r>
          </w:p>
        </w:tc>
        <w:tc>
          <w:tcPr>
            <w:tcW w:w="1167" w:type="pct"/>
            <w:vAlign w:val="center"/>
          </w:tcPr>
          <w:p w14:paraId="07934E55">
            <w:pPr>
              <w:jc w:val="center"/>
              <w:rPr>
                <w:rFonts w:hint="default" w:ascii="Times New Roman" w:hAnsi="Times New Roman" w:cs="Times New Roman"/>
                <w:szCs w:val="21"/>
              </w:rPr>
            </w:pPr>
            <w:r>
              <w:rPr>
                <w:rFonts w:hint="default" w:ascii="Times New Roman" w:hAnsi="Times New Roman" w:cs="Times New Roman"/>
                <w:szCs w:val="21"/>
              </w:rPr>
              <w:t>GB 15979—2024</w:t>
            </w:r>
          </w:p>
        </w:tc>
        <w:tc>
          <w:tcPr>
            <w:tcW w:w="1281" w:type="pct"/>
            <w:vAlign w:val="center"/>
          </w:tcPr>
          <w:p w14:paraId="3930C562">
            <w:pPr>
              <w:jc w:val="center"/>
              <w:rPr>
                <w:rFonts w:hint="default" w:ascii="Times New Roman" w:hAnsi="Times New Roman" w:cs="Times New Roman"/>
                <w:szCs w:val="21"/>
              </w:rPr>
            </w:pPr>
            <w:r>
              <w:rPr>
                <w:rFonts w:hint="default" w:ascii="Times New Roman" w:hAnsi="Times New Roman" w:cs="Times New Roman"/>
                <w:szCs w:val="21"/>
              </w:rPr>
              <w:t>GB 15979—2024</w:t>
            </w:r>
          </w:p>
        </w:tc>
      </w:tr>
      <w:tr w14:paraId="0C271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left w:val="single" w:color="auto" w:sz="4" w:space="0"/>
              <w:bottom w:val="single" w:color="auto" w:sz="4" w:space="0"/>
              <w:right w:val="single" w:color="auto" w:sz="4" w:space="0"/>
            </w:tcBorders>
            <w:vAlign w:val="center"/>
          </w:tcPr>
          <w:p w14:paraId="6AE318BE">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3</w:t>
            </w:r>
          </w:p>
        </w:tc>
        <w:tc>
          <w:tcPr>
            <w:tcW w:w="551" w:type="pct"/>
            <w:vMerge w:val="continue"/>
            <w:vAlign w:val="center"/>
          </w:tcPr>
          <w:p w14:paraId="253920BE">
            <w:pPr>
              <w:autoSpaceDE w:val="0"/>
              <w:autoSpaceDN w:val="0"/>
              <w:jc w:val="center"/>
              <w:rPr>
                <w:rFonts w:hint="default" w:ascii="Times New Roman" w:hAnsi="Times New Roman" w:cs="Times New Roman"/>
                <w:color w:val="000000"/>
                <w:kern w:val="0"/>
                <w:szCs w:val="21"/>
              </w:rPr>
            </w:pPr>
          </w:p>
        </w:tc>
        <w:tc>
          <w:tcPr>
            <w:tcW w:w="1595" w:type="pct"/>
            <w:gridSpan w:val="2"/>
            <w:vAlign w:val="center"/>
          </w:tcPr>
          <w:p w14:paraId="1BA9EC45">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szCs w:val="21"/>
              </w:rPr>
              <w:t>真菌菌落总数</w:t>
            </w:r>
          </w:p>
        </w:tc>
        <w:tc>
          <w:tcPr>
            <w:tcW w:w="1167" w:type="pct"/>
            <w:vAlign w:val="center"/>
          </w:tcPr>
          <w:p w14:paraId="60D9E556">
            <w:pPr>
              <w:jc w:val="center"/>
              <w:rPr>
                <w:rFonts w:hint="default" w:ascii="Times New Roman" w:hAnsi="Times New Roman" w:cs="Times New Roman"/>
                <w:szCs w:val="21"/>
              </w:rPr>
            </w:pPr>
            <w:r>
              <w:rPr>
                <w:rFonts w:hint="default" w:ascii="Times New Roman" w:hAnsi="Times New Roman" w:cs="Times New Roman"/>
                <w:szCs w:val="21"/>
              </w:rPr>
              <w:t>GB 15979—2024</w:t>
            </w:r>
          </w:p>
        </w:tc>
        <w:tc>
          <w:tcPr>
            <w:tcW w:w="1281" w:type="pct"/>
            <w:vAlign w:val="center"/>
          </w:tcPr>
          <w:p w14:paraId="223FFF04">
            <w:pPr>
              <w:snapToGrid w:val="0"/>
              <w:jc w:val="center"/>
              <w:rPr>
                <w:rFonts w:hint="default" w:ascii="Times New Roman" w:hAnsi="Times New Roman" w:cs="Times New Roman"/>
                <w:color w:val="000000"/>
                <w:szCs w:val="21"/>
              </w:rPr>
            </w:pPr>
            <w:r>
              <w:rPr>
                <w:rFonts w:hint="default" w:ascii="Times New Roman" w:hAnsi="Times New Roman" w:cs="Times New Roman"/>
                <w:color w:val="000000"/>
                <w:szCs w:val="21"/>
              </w:rPr>
              <w:t>GB 15979—2024</w:t>
            </w:r>
          </w:p>
        </w:tc>
      </w:tr>
      <w:tr w14:paraId="0ABC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left w:val="single" w:color="auto" w:sz="4" w:space="0"/>
              <w:bottom w:val="single" w:color="auto" w:sz="4" w:space="0"/>
              <w:right w:val="single" w:color="auto" w:sz="4" w:space="0"/>
            </w:tcBorders>
            <w:vAlign w:val="center"/>
          </w:tcPr>
          <w:p w14:paraId="51A077A7">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4</w:t>
            </w:r>
          </w:p>
        </w:tc>
        <w:tc>
          <w:tcPr>
            <w:tcW w:w="2147" w:type="pct"/>
            <w:gridSpan w:val="3"/>
            <w:vAlign w:val="center"/>
          </w:tcPr>
          <w:p w14:paraId="141B17D7">
            <w:pPr>
              <w:autoSpaceDE w:val="0"/>
              <w:autoSpaceDN w:val="0"/>
              <w:jc w:val="center"/>
              <w:rPr>
                <w:rFonts w:hint="default" w:ascii="Times New Roman" w:hAnsi="Times New Roman" w:cs="Times New Roman"/>
                <w:szCs w:val="21"/>
              </w:rPr>
            </w:pPr>
            <w:r>
              <w:rPr>
                <w:rFonts w:hint="default" w:ascii="Times New Roman" w:hAnsi="Times New Roman" w:cs="Times New Roman"/>
                <w:szCs w:val="21"/>
              </w:rPr>
              <w:t>全长偏差</w:t>
            </w:r>
          </w:p>
        </w:tc>
        <w:tc>
          <w:tcPr>
            <w:tcW w:w="1167" w:type="pct"/>
            <w:vAlign w:val="center"/>
          </w:tcPr>
          <w:p w14:paraId="6E6E423C">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vAlign w:val="center"/>
          </w:tcPr>
          <w:p w14:paraId="16EFDB4E">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r>
      <w:tr w14:paraId="16B6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left w:val="single" w:color="auto" w:sz="4" w:space="0"/>
              <w:bottom w:val="single" w:color="auto" w:sz="4" w:space="0"/>
              <w:right w:val="single" w:color="auto" w:sz="4" w:space="0"/>
            </w:tcBorders>
            <w:vAlign w:val="center"/>
          </w:tcPr>
          <w:p w14:paraId="0EFDD8C1">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5</w:t>
            </w:r>
          </w:p>
        </w:tc>
        <w:tc>
          <w:tcPr>
            <w:tcW w:w="2147" w:type="pct"/>
            <w:gridSpan w:val="3"/>
            <w:vAlign w:val="center"/>
          </w:tcPr>
          <w:p w14:paraId="3B7115F1">
            <w:pPr>
              <w:autoSpaceDE w:val="0"/>
              <w:autoSpaceDN w:val="0"/>
              <w:jc w:val="center"/>
              <w:rPr>
                <w:rFonts w:hint="default" w:ascii="Times New Roman" w:hAnsi="Times New Roman" w:cs="Times New Roman" w:eastAsiaTheme="minorEastAsia"/>
                <w:szCs w:val="21"/>
                <w:lang w:eastAsia="zh-CN"/>
              </w:rPr>
            </w:pPr>
            <w:r>
              <w:rPr>
                <w:rFonts w:hint="default" w:ascii="Times New Roman" w:hAnsi="Times New Roman" w:cs="Times New Roman"/>
                <w:szCs w:val="21"/>
              </w:rPr>
              <w:t>条质量偏差</w:t>
            </w:r>
            <w:r>
              <w:rPr>
                <w:rFonts w:hint="default" w:ascii="Times New Roman" w:hAnsi="Times New Roman" w:cs="Times New Roman"/>
                <w:szCs w:val="21"/>
                <w:vertAlign w:val="superscript"/>
                <w:lang w:val="en-US" w:eastAsia="zh-CN"/>
              </w:rPr>
              <w:t>a</w:t>
            </w:r>
          </w:p>
        </w:tc>
        <w:tc>
          <w:tcPr>
            <w:tcW w:w="1167" w:type="pct"/>
            <w:vAlign w:val="center"/>
          </w:tcPr>
          <w:p w14:paraId="7C63905E">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vAlign w:val="center"/>
          </w:tcPr>
          <w:p w14:paraId="12A673D7">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r>
      <w:tr w14:paraId="5741E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7CB6AFB9">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w:t>
            </w:r>
          </w:p>
        </w:tc>
        <w:tc>
          <w:tcPr>
            <w:tcW w:w="2147" w:type="pct"/>
            <w:gridSpan w:val="3"/>
            <w:vAlign w:val="center"/>
          </w:tcPr>
          <w:p w14:paraId="078059C0">
            <w:pPr>
              <w:jc w:val="center"/>
              <w:rPr>
                <w:rFonts w:hint="default" w:ascii="Times New Roman" w:hAnsi="Times New Roman" w:cs="Times New Roman"/>
                <w:color w:val="000000"/>
                <w:kern w:val="0"/>
                <w:szCs w:val="21"/>
              </w:rPr>
            </w:pPr>
            <w:r>
              <w:rPr>
                <w:rFonts w:hint="default" w:ascii="Times New Roman" w:hAnsi="Times New Roman" w:cs="Times New Roman"/>
                <w:szCs w:val="21"/>
              </w:rPr>
              <w:t>吸</w:t>
            </w:r>
            <w:r>
              <w:rPr>
                <w:rFonts w:hint="default" w:ascii="Times New Roman" w:hAnsi="Times New Roman" w:cs="Times New Roman"/>
                <w:szCs w:val="21"/>
                <w:lang w:val="en-US" w:eastAsia="zh-CN"/>
              </w:rPr>
              <w:t>收</w:t>
            </w:r>
            <w:r>
              <w:rPr>
                <w:rFonts w:hint="default" w:ascii="Times New Roman" w:hAnsi="Times New Roman" w:cs="Times New Roman"/>
                <w:szCs w:val="21"/>
              </w:rPr>
              <w:t>倍率</w:t>
            </w:r>
          </w:p>
        </w:tc>
        <w:tc>
          <w:tcPr>
            <w:tcW w:w="1167" w:type="pct"/>
            <w:vAlign w:val="center"/>
          </w:tcPr>
          <w:p w14:paraId="61FFD2DF">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vAlign w:val="center"/>
          </w:tcPr>
          <w:p w14:paraId="2E4990BA">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r>
      <w:tr w14:paraId="695B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1792FF4F">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7</w:t>
            </w:r>
          </w:p>
        </w:tc>
        <w:tc>
          <w:tcPr>
            <w:tcW w:w="2147" w:type="pct"/>
            <w:gridSpan w:val="3"/>
            <w:vAlign w:val="center"/>
          </w:tcPr>
          <w:p w14:paraId="7D592AEC">
            <w:pPr>
              <w:jc w:val="center"/>
              <w:rPr>
                <w:rFonts w:hint="default" w:ascii="Times New Roman" w:hAnsi="Times New Roman" w:cs="Times New Roman" w:eastAsiaTheme="minorEastAsia"/>
                <w:color w:val="000000"/>
                <w:kern w:val="0"/>
                <w:szCs w:val="21"/>
                <w:lang w:eastAsia="zh-CN"/>
              </w:rPr>
            </w:pPr>
            <w:r>
              <w:rPr>
                <w:rFonts w:hint="default" w:ascii="Times New Roman" w:hAnsi="Times New Roman" w:cs="Times New Roman"/>
                <w:szCs w:val="21"/>
              </w:rPr>
              <w:t>吸收速度</w:t>
            </w:r>
            <w:r>
              <w:rPr>
                <w:rFonts w:hint="default" w:ascii="Times New Roman" w:hAnsi="Times New Roman" w:cs="Times New Roman"/>
                <w:szCs w:val="21"/>
                <w:vertAlign w:val="superscript"/>
                <w:lang w:val="en-US" w:eastAsia="zh-CN"/>
              </w:rPr>
              <w:t>b</w:t>
            </w:r>
          </w:p>
        </w:tc>
        <w:tc>
          <w:tcPr>
            <w:tcW w:w="1167" w:type="pct"/>
            <w:vAlign w:val="center"/>
          </w:tcPr>
          <w:p w14:paraId="60D0ACE6">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vAlign w:val="center"/>
          </w:tcPr>
          <w:p w14:paraId="4085D57C">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r>
      <w:tr w14:paraId="769C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06360AB7">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8</w:t>
            </w:r>
          </w:p>
        </w:tc>
        <w:tc>
          <w:tcPr>
            <w:tcW w:w="2147" w:type="pct"/>
            <w:gridSpan w:val="3"/>
            <w:shd w:val="clear" w:color="auto" w:fill="auto"/>
            <w:vAlign w:val="center"/>
          </w:tcPr>
          <w:p w14:paraId="74D524C6">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回渗量</w:t>
            </w:r>
            <w:r>
              <w:rPr>
                <w:rFonts w:hint="default" w:ascii="Times New Roman" w:hAnsi="Times New Roman" w:cs="Times New Roman"/>
                <w:szCs w:val="21"/>
                <w:vertAlign w:val="superscript"/>
                <w:lang w:val="en-US" w:eastAsia="zh-CN"/>
              </w:rPr>
              <w:t>b</w:t>
            </w:r>
          </w:p>
        </w:tc>
        <w:tc>
          <w:tcPr>
            <w:tcW w:w="1167" w:type="pct"/>
            <w:shd w:val="clear" w:color="auto" w:fill="auto"/>
            <w:vAlign w:val="center"/>
          </w:tcPr>
          <w:p w14:paraId="211E4A3E">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shd w:val="clear" w:color="auto" w:fill="auto"/>
            <w:vAlign w:val="center"/>
          </w:tcPr>
          <w:p w14:paraId="5E8520C7">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r>
      <w:tr w14:paraId="4E00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04960E5F">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9</w:t>
            </w:r>
          </w:p>
        </w:tc>
        <w:tc>
          <w:tcPr>
            <w:tcW w:w="2147" w:type="pct"/>
            <w:gridSpan w:val="3"/>
            <w:vAlign w:val="center"/>
          </w:tcPr>
          <w:p w14:paraId="0BB1FC7A">
            <w:pPr>
              <w:jc w:val="center"/>
              <w:rPr>
                <w:rFonts w:hint="default" w:ascii="Times New Roman" w:hAnsi="Times New Roman" w:cs="Times New Roman"/>
                <w:color w:val="000000"/>
                <w:kern w:val="0"/>
                <w:szCs w:val="21"/>
              </w:rPr>
            </w:pPr>
            <w:r>
              <w:rPr>
                <w:rFonts w:hint="default" w:ascii="Times New Roman" w:hAnsi="Times New Roman" w:cs="Times New Roman"/>
                <w:szCs w:val="21"/>
              </w:rPr>
              <w:t>pH</w:t>
            </w:r>
          </w:p>
        </w:tc>
        <w:tc>
          <w:tcPr>
            <w:tcW w:w="1167" w:type="pct"/>
            <w:vAlign w:val="center"/>
          </w:tcPr>
          <w:p w14:paraId="462F7D02">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vAlign w:val="center"/>
          </w:tcPr>
          <w:p w14:paraId="26DB8168">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r>
      <w:tr w14:paraId="0432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657A5909">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10</w:t>
            </w:r>
          </w:p>
        </w:tc>
        <w:tc>
          <w:tcPr>
            <w:tcW w:w="2147" w:type="pct"/>
            <w:gridSpan w:val="3"/>
            <w:vAlign w:val="center"/>
          </w:tcPr>
          <w:p w14:paraId="21B69632">
            <w:pPr>
              <w:jc w:val="center"/>
              <w:rPr>
                <w:rFonts w:hint="default" w:ascii="Times New Roman" w:hAnsi="Times New Roman" w:cs="Times New Roman" w:eastAsiaTheme="minorEastAsia"/>
                <w:color w:val="000000"/>
                <w:kern w:val="0"/>
                <w:szCs w:val="21"/>
                <w:lang w:eastAsia="zh-CN"/>
              </w:rPr>
            </w:pPr>
            <w:r>
              <w:rPr>
                <w:rFonts w:hint="default" w:ascii="Times New Roman" w:hAnsi="Times New Roman" w:cs="Times New Roman"/>
                <w:szCs w:val="21"/>
              </w:rPr>
              <w:t>可迁移性荧光物质</w:t>
            </w:r>
            <w:r>
              <w:rPr>
                <w:rFonts w:hint="default" w:ascii="Times New Roman" w:hAnsi="Times New Roman" w:cs="Times New Roman"/>
                <w:szCs w:val="21"/>
                <w:vertAlign w:val="superscript"/>
                <w:lang w:val="en-US" w:eastAsia="zh-CN"/>
              </w:rPr>
              <w:t>c</w:t>
            </w:r>
          </w:p>
        </w:tc>
        <w:tc>
          <w:tcPr>
            <w:tcW w:w="1167" w:type="pct"/>
            <w:vAlign w:val="center"/>
          </w:tcPr>
          <w:p w14:paraId="74ACD387">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vAlign w:val="center"/>
          </w:tcPr>
          <w:p w14:paraId="253BDA4E">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r>
      <w:tr w14:paraId="0709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26BDBACD">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11</w:t>
            </w:r>
          </w:p>
        </w:tc>
        <w:tc>
          <w:tcPr>
            <w:tcW w:w="2147" w:type="pct"/>
            <w:gridSpan w:val="3"/>
            <w:tcBorders>
              <w:bottom w:val="single" w:color="auto" w:sz="4" w:space="0"/>
            </w:tcBorders>
            <w:vAlign w:val="center"/>
          </w:tcPr>
          <w:p w14:paraId="57B4133A">
            <w:pPr>
              <w:jc w:val="center"/>
              <w:rPr>
                <w:rFonts w:hint="default" w:ascii="Times New Roman" w:hAnsi="Times New Roman" w:cs="Times New Roman"/>
                <w:szCs w:val="21"/>
              </w:rPr>
            </w:pPr>
            <w:r>
              <w:rPr>
                <w:rFonts w:hint="default" w:ascii="Times New Roman" w:hAnsi="Times New Roman" w:cs="Times New Roman"/>
                <w:szCs w:val="21"/>
              </w:rPr>
              <w:t>背胶剥离强度</w:t>
            </w:r>
          </w:p>
        </w:tc>
        <w:tc>
          <w:tcPr>
            <w:tcW w:w="1167" w:type="pct"/>
            <w:tcBorders>
              <w:bottom w:val="single" w:color="auto" w:sz="4" w:space="0"/>
            </w:tcBorders>
            <w:vAlign w:val="center"/>
          </w:tcPr>
          <w:p w14:paraId="32528039">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tcBorders>
              <w:bottom w:val="single" w:color="auto" w:sz="4" w:space="0"/>
            </w:tcBorders>
            <w:vAlign w:val="center"/>
          </w:tcPr>
          <w:p w14:paraId="220DD09E">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r>
      <w:tr w14:paraId="74DE5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3362BF3D">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12</w:t>
            </w:r>
          </w:p>
        </w:tc>
        <w:tc>
          <w:tcPr>
            <w:tcW w:w="2147" w:type="pct"/>
            <w:gridSpan w:val="3"/>
            <w:tcBorders>
              <w:bottom w:val="single" w:color="auto" w:sz="4" w:space="0"/>
            </w:tcBorders>
            <w:vAlign w:val="center"/>
          </w:tcPr>
          <w:p w14:paraId="6E4F43ED">
            <w:pPr>
              <w:jc w:val="center"/>
              <w:rPr>
                <w:rFonts w:hint="default" w:ascii="Times New Roman" w:hAnsi="Times New Roman" w:cs="Times New Roman"/>
                <w:szCs w:val="21"/>
              </w:rPr>
            </w:pPr>
            <w:r>
              <w:rPr>
                <w:rFonts w:hint="default" w:ascii="Times New Roman" w:hAnsi="Times New Roman" w:cs="Times New Roman"/>
                <w:szCs w:val="21"/>
              </w:rPr>
              <w:t>甲醛</w:t>
            </w:r>
          </w:p>
        </w:tc>
        <w:tc>
          <w:tcPr>
            <w:tcW w:w="1167" w:type="pct"/>
            <w:tcBorders>
              <w:bottom w:val="single" w:color="auto" w:sz="4" w:space="0"/>
            </w:tcBorders>
            <w:vAlign w:val="center"/>
          </w:tcPr>
          <w:p w14:paraId="71EDC0D9">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tcBorders>
              <w:bottom w:val="single" w:color="auto" w:sz="4" w:space="0"/>
            </w:tcBorders>
            <w:vAlign w:val="center"/>
          </w:tcPr>
          <w:p w14:paraId="490C3872">
            <w:pPr>
              <w:jc w:val="center"/>
              <w:rPr>
                <w:rFonts w:hint="default" w:ascii="Times New Roman" w:hAnsi="Times New Roman" w:cs="Times New Roman"/>
                <w:szCs w:val="21"/>
              </w:rPr>
            </w:pPr>
            <w:r>
              <w:rPr>
                <w:rFonts w:ascii="Times New Roman" w:hAnsi="Times New Roman" w:cs="Times New Roman"/>
                <w:szCs w:val="21"/>
              </w:rPr>
              <w:t>GB/T 34448</w:t>
            </w:r>
            <w:r>
              <w:rPr>
                <w:rFonts w:hint="default" w:ascii="Times New Roman" w:hAnsi="Times New Roman" w:cs="Times New Roman"/>
                <w:color w:val="000000"/>
                <w:szCs w:val="21"/>
              </w:rPr>
              <w:t>—</w:t>
            </w:r>
            <w:r>
              <w:rPr>
                <w:rFonts w:ascii="Times New Roman" w:hAnsi="Times New Roman" w:cs="Times New Roman"/>
                <w:szCs w:val="21"/>
              </w:rPr>
              <w:t>2017</w:t>
            </w:r>
          </w:p>
        </w:tc>
      </w:tr>
      <w:tr w14:paraId="3347A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52FBDA66">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13</w:t>
            </w:r>
          </w:p>
        </w:tc>
        <w:tc>
          <w:tcPr>
            <w:tcW w:w="2147" w:type="pct"/>
            <w:gridSpan w:val="3"/>
            <w:tcBorders>
              <w:bottom w:val="single" w:color="auto" w:sz="4" w:space="0"/>
            </w:tcBorders>
            <w:vAlign w:val="center"/>
          </w:tcPr>
          <w:p w14:paraId="22F657F8">
            <w:pPr>
              <w:jc w:val="center"/>
              <w:rPr>
                <w:rFonts w:hint="default" w:ascii="Times New Roman" w:hAnsi="Times New Roman" w:cs="Times New Roman"/>
                <w:szCs w:val="21"/>
              </w:rPr>
            </w:pPr>
            <w:r>
              <w:rPr>
                <w:rFonts w:hint="default" w:ascii="Times New Roman" w:hAnsi="Times New Roman" w:cs="Times New Roman"/>
                <w:szCs w:val="21"/>
              </w:rPr>
              <w:t>邻苯二甲酸酯（</w:t>
            </w:r>
            <w:r>
              <w:rPr>
                <w:rFonts w:ascii="Times New Roman" w:hAnsi="Times New Roman" w:cs="Times New Roman"/>
                <w:szCs w:val="21"/>
              </w:rPr>
              <w:t>邻苯二甲酸二丁酯(DBP)、邻苯二甲酸二异丁酯(DIBP)、邻苯二甲酸丁苄酯(BBP)、邻苯二甲酸二(2-乙基)己酯(DEHP)总量</w:t>
            </w:r>
            <w:r>
              <w:rPr>
                <w:rFonts w:hint="default" w:ascii="Times New Roman" w:hAnsi="Times New Roman" w:cs="Times New Roman"/>
                <w:szCs w:val="21"/>
              </w:rPr>
              <w:t>）</w:t>
            </w:r>
          </w:p>
        </w:tc>
        <w:tc>
          <w:tcPr>
            <w:tcW w:w="1167" w:type="pct"/>
            <w:tcBorders>
              <w:bottom w:val="single" w:color="auto" w:sz="4" w:space="0"/>
            </w:tcBorders>
            <w:vAlign w:val="center"/>
          </w:tcPr>
          <w:p w14:paraId="5F99818F">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tcBorders>
              <w:bottom w:val="single" w:color="auto" w:sz="4" w:space="0"/>
            </w:tcBorders>
            <w:vAlign w:val="center"/>
          </w:tcPr>
          <w:p w14:paraId="1F0C3B32">
            <w:pPr>
              <w:jc w:val="center"/>
              <w:rPr>
                <w:rFonts w:hint="default" w:ascii="Times New Roman" w:hAnsi="Times New Roman" w:cs="Times New Roman"/>
                <w:szCs w:val="21"/>
              </w:rPr>
            </w:pPr>
            <w:r>
              <w:rPr>
                <w:rFonts w:ascii="Times New Roman" w:hAnsi="Times New Roman" w:cs="Times New Roman"/>
                <w:szCs w:val="21"/>
              </w:rPr>
              <w:t>GB/T 37860</w:t>
            </w:r>
            <w:r>
              <w:rPr>
                <w:rFonts w:hint="default" w:ascii="Times New Roman" w:hAnsi="Times New Roman" w:cs="Times New Roman"/>
                <w:color w:val="000000"/>
                <w:szCs w:val="21"/>
              </w:rPr>
              <w:t>—</w:t>
            </w:r>
            <w:r>
              <w:rPr>
                <w:rFonts w:ascii="Times New Roman" w:hAnsi="Times New Roman" w:cs="Times New Roman"/>
                <w:szCs w:val="21"/>
              </w:rPr>
              <w:t>2019</w:t>
            </w:r>
          </w:p>
        </w:tc>
      </w:tr>
      <w:tr w14:paraId="7D13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3E84B9A9">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14</w:t>
            </w:r>
          </w:p>
        </w:tc>
        <w:tc>
          <w:tcPr>
            <w:tcW w:w="954" w:type="pct"/>
            <w:gridSpan w:val="2"/>
            <w:vMerge w:val="restart"/>
            <w:vAlign w:val="center"/>
          </w:tcPr>
          <w:p w14:paraId="31BFB54F">
            <w:pPr>
              <w:jc w:val="center"/>
              <w:rPr>
                <w:rFonts w:hint="default" w:ascii="Times New Roman" w:hAnsi="Times New Roman" w:cs="Times New Roman"/>
                <w:szCs w:val="21"/>
              </w:rPr>
            </w:pPr>
            <w:r>
              <w:rPr>
                <w:rFonts w:hint="default" w:ascii="Times New Roman" w:hAnsi="Times New Roman" w:cs="Times New Roman"/>
                <w:szCs w:val="21"/>
              </w:rPr>
              <w:t>重金属</w:t>
            </w:r>
          </w:p>
        </w:tc>
        <w:tc>
          <w:tcPr>
            <w:tcW w:w="1193" w:type="pct"/>
            <w:vAlign w:val="center"/>
          </w:tcPr>
          <w:p w14:paraId="04D34BC2">
            <w:pPr>
              <w:jc w:val="center"/>
              <w:rPr>
                <w:rFonts w:hint="default" w:ascii="Times New Roman" w:hAnsi="Times New Roman" w:cs="Times New Roman"/>
                <w:szCs w:val="21"/>
              </w:rPr>
            </w:pPr>
            <w:r>
              <w:rPr>
                <w:rFonts w:hint="default" w:ascii="Times New Roman" w:hAnsi="Times New Roman" w:cs="Times New Roman"/>
                <w:szCs w:val="21"/>
              </w:rPr>
              <w:t>铅</w:t>
            </w:r>
          </w:p>
        </w:tc>
        <w:tc>
          <w:tcPr>
            <w:tcW w:w="1167" w:type="pct"/>
            <w:vMerge w:val="restart"/>
            <w:vAlign w:val="center"/>
          </w:tcPr>
          <w:p w14:paraId="390E1044">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vMerge w:val="restart"/>
            <w:vAlign w:val="center"/>
          </w:tcPr>
          <w:p w14:paraId="1B3AB919">
            <w:pPr>
              <w:jc w:val="center"/>
              <w:rPr>
                <w:rFonts w:ascii="Times New Roman" w:hAnsi="Times New Roman" w:cs="Times New Roman"/>
                <w:szCs w:val="21"/>
              </w:rPr>
            </w:pPr>
            <w:r>
              <w:rPr>
                <w:rFonts w:ascii="Times New Roman" w:hAnsi="Times New Roman" w:cs="Times New Roman"/>
                <w:szCs w:val="21"/>
              </w:rPr>
              <w:t>GB/T 24991</w:t>
            </w:r>
            <w:r>
              <w:rPr>
                <w:rFonts w:hint="default" w:ascii="Times New Roman" w:hAnsi="Times New Roman" w:cs="Times New Roman"/>
                <w:color w:val="000000"/>
                <w:szCs w:val="21"/>
              </w:rPr>
              <w:t>—</w:t>
            </w:r>
            <w:r>
              <w:rPr>
                <w:rFonts w:ascii="Times New Roman" w:hAnsi="Times New Roman" w:cs="Times New Roman"/>
                <w:szCs w:val="21"/>
              </w:rPr>
              <w:t>2010</w:t>
            </w:r>
          </w:p>
          <w:p w14:paraId="36DBB472">
            <w:pPr>
              <w:jc w:val="center"/>
              <w:rPr>
                <w:rFonts w:ascii="Times New Roman" w:hAnsi="Times New Roman" w:cs="Times New Roman"/>
                <w:szCs w:val="21"/>
              </w:rPr>
            </w:pPr>
            <w:r>
              <w:rPr>
                <w:rFonts w:ascii="Times New Roman" w:hAnsi="Times New Roman" w:cs="Times New Roman"/>
                <w:szCs w:val="21"/>
              </w:rPr>
              <w:t>GB/T 2499</w:t>
            </w:r>
            <w:r>
              <w:rPr>
                <w:rFonts w:hint="default" w:ascii="Times New Roman" w:hAnsi="Times New Roman" w:cs="Times New Roman"/>
                <w:szCs w:val="21"/>
              </w:rPr>
              <w:t>2</w:t>
            </w:r>
            <w:r>
              <w:rPr>
                <w:rFonts w:hint="default" w:ascii="Times New Roman" w:hAnsi="Times New Roman" w:cs="Times New Roman"/>
                <w:color w:val="000000"/>
                <w:szCs w:val="21"/>
              </w:rPr>
              <w:t>—</w:t>
            </w:r>
            <w:r>
              <w:rPr>
                <w:rFonts w:ascii="Times New Roman" w:hAnsi="Times New Roman" w:cs="Times New Roman"/>
                <w:szCs w:val="21"/>
              </w:rPr>
              <w:t>2010</w:t>
            </w:r>
          </w:p>
          <w:p w14:paraId="25A65461">
            <w:pPr>
              <w:jc w:val="center"/>
              <w:rPr>
                <w:rFonts w:ascii="Times New Roman" w:hAnsi="Times New Roman" w:cs="Times New Roman"/>
                <w:szCs w:val="21"/>
              </w:rPr>
            </w:pPr>
            <w:r>
              <w:rPr>
                <w:rFonts w:ascii="Times New Roman" w:hAnsi="Times New Roman" w:cs="Times New Roman"/>
                <w:szCs w:val="21"/>
              </w:rPr>
              <w:t>GB/T 2499</w:t>
            </w:r>
            <w:r>
              <w:rPr>
                <w:rFonts w:hint="default" w:ascii="Times New Roman" w:hAnsi="Times New Roman" w:cs="Times New Roman"/>
                <w:szCs w:val="21"/>
              </w:rPr>
              <w:t>7</w:t>
            </w:r>
            <w:r>
              <w:rPr>
                <w:rFonts w:hint="default" w:ascii="Times New Roman" w:hAnsi="Times New Roman" w:cs="Times New Roman"/>
                <w:color w:val="000000"/>
                <w:szCs w:val="21"/>
              </w:rPr>
              <w:t>—</w:t>
            </w:r>
            <w:r>
              <w:rPr>
                <w:rFonts w:ascii="Times New Roman" w:hAnsi="Times New Roman" w:cs="Times New Roman"/>
                <w:szCs w:val="21"/>
              </w:rPr>
              <w:t>2010</w:t>
            </w:r>
          </w:p>
          <w:p w14:paraId="78FFD458">
            <w:pPr>
              <w:jc w:val="center"/>
              <w:rPr>
                <w:rFonts w:ascii="Times New Roman" w:hAnsi="Times New Roman" w:cs="Times New Roman"/>
                <w:szCs w:val="21"/>
              </w:rPr>
            </w:pPr>
            <w:r>
              <w:rPr>
                <w:rFonts w:ascii="Times New Roman" w:hAnsi="Times New Roman" w:cs="Times New Roman"/>
                <w:szCs w:val="21"/>
              </w:rPr>
              <w:t>GB/T 22804</w:t>
            </w:r>
            <w:r>
              <w:rPr>
                <w:rFonts w:hint="default" w:ascii="Times New Roman" w:hAnsi="Times New Roman" w:cs="Times New Roman"/>
                <w:color w:val="000000"/>
                <w:szCs w:val="21"/>
              </w:rPr>
              <w:t>—</w:t>
            </w:r>
            <w:r>
              <w:rPr>
                <w:rFonts w:ascii="Times New Roman" w:hAnsi="Times New Roman" w:cs="Times New Roman"/>
                <w:szCs w:val="21"/>
              </w:rPr>
              <w:t>2008</w:t>
            </w:r>
          </w:p>
          <w:p w14:paraId="6B92E2C8">
            <w:pPr>
              <w:jc w:val="center"/>
              <w:rPr>
                <w:rFonts w:hint="default" w:ascii="Times New Roman" w:hAnsi="Times New Roman" w:cs="Times New Roman"/>
                <w:szCs w:val="21"/>
              </w:rPr>
            </w:pPr>
            <w:r>
              <w:rPr>
                <w:rFonts w:ascii="Times New Roman" w:hAnsi="Times New Roman" w:cs="Times New Roman"/>
                <w:szCs w:val="21"/>
              </w:rPr>
              <w:t>《化妆品安全技术规范》(2015年版)第四章中1.6</w:t>
            </w:r>
          </w:p>
        </w:tc>
      </w:tr>
      <w:tr w14:paraId="78B8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331D3792">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15</w:t>
            </w:r>
          </w:p>
        </w:tc>
        <w:tc>
          <w:tcPr>
            <w:tcW w:w="954" w:type="pct"/>
            <w:gridSpan w:val="2"/>
            <w:vMerge w:val="continue"/>
            <w:vAlign w:val="center"/>
          </w:tcPr>
          <w:p w14:paraId="5D15D4DD">
            <w:pPr>
              <w:jc w:val="center"/>
              <w:rPr>
                <w:rFonts w:hint="default" w:ascii="Times New Roman" w:hAnsi="Times New Roman" w:cs="Times New Roman"/>
                <w:szCs w:val="21"/>
              </w:rPr>
            </w:pPr>
          </w:p>
        </w:tc>
        <w:tc>
          <w:tcPr>
            <w:tcW w:w="1193" w:type="pct"/>
            <w:vAlign w:val="center"/>
          </w:tcPr>
          <w:p w14:paraId="02E9A4A6">
            <w:pPr>
              <w:jc w:val="center"/>
              <w:rPr>
                <w:rFonts w:hint="default" w:ascii="Times New Roman" w:hAnsi="Times New Roman" w:cs="Times New Roman"/>
                <w:szCs w:val="21"/>
              </w:rPr>
            </w:pPr>
            <w:r>
              <w:rPr>
                <w:rFonts w:hint="default" w:ascii="Times New Roman" w:hAnsi="Times New Roman" w:cs="Times New Roman"/>
                <w:szCs w:val="21"/>
              </w:rPr>
              <w:t>砷</w:t>
            </w:r>
          </w:p>
        </w:tc>
        <w:tc>
          <w:tcPr>
            <w:tcW w:w="1167" w:type="pct"/>
            <w:vMerge w:val="continue"/>
            <w:vAlign w:val="center"/>
          </w:tcPr>
          <w:p w14:paraId="585E2827">
            <w:pPr>
              <w:jc w:val="center"/>
              <w:rPr>
                <w:rFonts w:hint="default" w:ascii="Times New Roman" w:hAnsi="Times New Roman" w:cs="Times New Roman"/>
                <w:szCs w:val="21"/>
              </w:rPr>
            </w:pPr>
          </w:p>
        </w:tc>
        <w:tc>
          <w:tcPr>
            <w:tcW w:w="1281" w:type="pct"/>
            <w:vMerge w:val="continue"/>
            <w:vAlign w:val="center"/>
          </w:tcPr>
          <w:p w14:paraId="2F3754AF">
            <w:pPr>
              <w:jc w:val="center"/>
              <w:rPr>
                <w:rFonts w:hint="default" w:ascii="Times New Roman" w:hAnsi="Times New Roman" w:cs="Times New Roman"/>
                <w:szCs w:val="21"/>
              </w:rPr>
            </w:pPr>
          </w:p>
        </w:tc>
      </w:tr>
      <w:tr w14:paraId="0F57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51E9F6F4">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16</w:t>
            </w:r>
          </w:p>
        </w:tc>
        <w:tc>
          <w:tcPr>
            <w:tcW w:w="954" w:type="pct"/>
            <w:gridSpan w:val="2"/>
            <w:vMerge w:val="continue"/>
            <w:vAlign w:val="center"/>
          </w:tcPr>
          <w:p w14:paraId="27850CD7">
            <w:pPr>
              <w:jc w:val="center"/>
              <w:rPr>
                <w:rFonts w:hint="default" w:ascii="Times New Roman" w:hAnsi="Times New Roman" w:cs="Times New Roman"/>
                <w:szCs w:val="21"/>
              </w:rPr>
            </w:pPr>
          </w:p>
        </w:tc>
        <w:tc>
          <w:tcPr>
            <w:tcW w:w="1193" w:type="pct"/>
            <w:vAlign w:val="center"/>
          </w:tcPr>
          <w:p w14:paraId="17B3BE98">
            <w:pPr>
              <w:jc w:val="center"/>
              <w:rPr>
                <w:rFonts w:hint="default" w:ascii="Times New Roman" w:hAnsi="Times New Roman" w:cs="Times New Roman"/>
                <w:szCs w:val="21"/>
              </w:rPr>
            </w:pPr>
            <w:r>
              <w:rPr>
                <w:rFonts w:hint="default" w:ascii="Times New Roman" w:hAnsi="Times New Roman" w:cs="Times New Roman"/>
                <w:szCs w:val="21"/>
              </w:rPr>
              <w:t>镉</w:t>
            </w:r>
          </w:p>
        </w:tc>
        <w:tc>
          <w:tcPr>
            <w:tcW w:w="1167" w:type="pct"/>
            <w:vMerge w:val="continue"/>
            <w:vAlign w:val="center"/>
          </w:tcPr>
          <w:p w14:paraId="65A3796D">
            <w:pPr>
              <w:jc w:val="center"/>
              <w:rPr>
                <w:rFonts w:hint="default" w:ascii="Times New Roman" w:hAnsi="Times New Roman" w:cs="Times New Roman"/>
                <w:szCs w:val="21"/>
              </w:rPr>
            </w:pPr>
          </w:p>
        </w:tc>
        <w:tc>
          <w:tcPr>
            <w:tcW w:w="1281" w:type="pct"/>
            <w:vMerge w:val="continue"/>
            <w:vAlign w:val="center"/>
          </w:tcPr>
          <w:p w14:paraId="4B762AE1">
            <w:pPr>
              <w:jc w:val="center"/>
              <w:rPr>
                <w:rFonts w:hint="default" w:ascii="Times New Roman" w:hAnsi="Times New Roman" w:cs="Times New Roman"/>
                <w:szCs w:val="21"/>
              </w:rPr>
            </w:pPr>
          </w:p>
        </w:tc>
      </w:tr>
      <w:tr w14:paraId="46AD2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69099AF2">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17</w:t>
            </w:r>
          </w:p>
        </w:tc>
        <w:tc>
          <w:tcPr>
            <w:tcW w:w="954" w:type="pct"/>
            <w:gridSpan w:val="2"/>
            <w:vMerge w:val="continue"/>
            <w:tcBorders>
              <w:bottom w:val="single" w:color="auto" w:sz="4" w:space="0"/>
            </w:tcBorders>
            <w:vAlign w:val="center"/>
          </w:tcPr>
          <w:p w14:paraId="63A5459F">
            <w:pPr>
              <w:jc w:val="center"/>
              <w:rPr>
                <w:rFonts w:hint="default" w:ascii="Times New Roman" w:hAnsi="Times New Roman" w:cs="Times New Roman"/>
                <w:szCs w:val="21"/>
              </w:rPr>
            </w:pPr>
          </w:p>
        </w:tc>
        <w:tc>
          <w:tcPr>
            <w:tcW w:w="1193" w:type="pct"/>
            <w:tcBorders>
              <w:bottom w:val="single" w:color="auto" w:sz="4" w:space="0"/>
            </w:tcBorders>
            <w:vAlign w:val="center"/>
          </w:tcPr>
          <w:p w14:paraId="308A2A81">
            <w:pPr>
              <w:jc w:val="center"/>
              <w:rPr>
                <w:rFonts w:hint="default" w:ascii="Times New Roman" w:hAnsi="Times New Roman" w:cs="Times New Roman"/>
                <w:szCs w:val="21"/>
              </w:rPr>
            </w:pPr>
            <w:r>
              <w:rPr>
                <w:rFonts w:hint="default" w:ascii="Times New Roman" w:hAnsi="Times New Roman" w:cs="Times New Roman"/>
                <w:szCs w:val="21"/>
              </w:rPr>
              <w:t>汞</w:t>
            </w:r>
          </w:p>
        </w:tc>
        <w:tc>
          <w:tcPr>
            <w:tcW w:w="1167" w:type="pct"/>
            <w:vMerge w:val="continue"/>
            <w:tcBorders>
              <w:bottom w:val="single" w:color="auto" w:sz="4" w:space="0"/>
            </w:tcBorders>
            <w:vAlign w:val="center"/>
          </w:tcPr>
          <w:p w14:paraId="3F8D629E">
            <w:pPr>
              <w:jc w:val="center"/>
              <w:rPr>
                <w:rFonts w:hint="default" w:ascii="Times New Roman" w:hAnsi="Times New Roman" w:cs="Times New Roman"/>
                <w:szCs w:val="21"/>
              </w:rPr>
            </w:pPr>
          </w:p>
        </w:tc>
        <w:tc>
          <w:tcPr>
            <w:tcW w:w="1281" w:type="pct"/>
            <w:vMerge w:val="continue"/>
            <w:tcBorders>
              <w:bottom w:val="single" w:color="auto" w:sz="4" w:space="0"/>
            </w:tcBorders>
            <w:vAlign w:val="center"/>
          </w:tcPr>
          <w:p w14:paraId="2E0D1361">
            <w:pPr>
              <w:jc w:val="center"/>
              <w:rPr>
                <w:rFonts w:hint="default" w:ascii="Times New Roman" w:hAnsi="Times New Roman" w:cs="Times New Roman"/>
                <w:szCs w:val="21"/>
              </w:rPr>
            </w:pPr>
          </w:p>
        </w:tc>
      </w:tr>
      <w:tr w14:paraId="2D23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403" w:type="pct"/>
            <w:tcBorders>
              <w:top w:val="single" w:color="auto" w:sz="4" w:space="0"/>
              <w:left w:val="single" w:color="auto" w:sz="4" w:space="0"/>
              <w:bottom w:val="single" w:color="auto" w:sz="4" w:space="0"/>
              <w:right w:val="single" w:color="auto" w:sz="4" w:space="0"/>
            </w:tcBorders>
            <w:vAlign w:val="center"/>
          </w:tcPr>
          <w:p w14:paraId="7798D12E">
            <w:pPr>
              <w:autoSpaceDE w:val="0"/>
              <w:autoSpaceDN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lang w:val="en-US" w:eastAsia="zh-CN"/>
              </w:rPr>
              <w:t>18</w:t>
            </w:r>
          </w:p>
        </w:tc>
        <w:tc>
          <w:tcPr>
            <w:tcW w:w="2147" w:type="pct"/>
            <w:gridSpan w:val="3"/>
            <w:tcBorders>
              <w:bottom w:val="single" w:color="auto" w:sz="4" w:space="0"/>
            </w:tcBorders>
            <w:vAlign w:val="center"/>
          </w:tcPr>
          <w:p w14:paraId="3C9DC374">
            <w:pPr>
              <w:jc w:val="center"/>
              <w:rPr>
                <w:rFonts w:hint="default" w:ascii="Times New Roman" w:hAnsi="Times New Roman" w:cs="Times New Roman" w:eastAsiaTheme="minorEastAsia"/>
                <w:szCs w:val="21"/>
                <w:lang w:eastAsia="zh-CN"/>
              </w:rPr>
            </w:pPr>
            <w:r>
              <w:rPr>
                <w:rFonts w:ascii="Times New Roman" w:hAnsi="Times New Roman" w:cs="Times New Roman"/>
                <w:szCs w:val="21"/>
              </w:rPr>
              <w:t>可分解致癌芳香胺染料</w:t>
            </w:r>
            <w:r>
              <w:rPr>
                <w:rFonts w:hint="default" w:ascii="Times New Roman" w:hAnsi="Times New Roman" w:cs="Times New Roman"/>
                <w:szCs w:val="21"/>
                <w:vertAlign w:val="superscript"/>
                <w:lang w:val="en-US" w:eastAsia="zh-CN"/>
              </w:rPr>
              <w:t>d</w:t>
            </w:r>
          </w:p>
        </w:tc>
        <w:tc>
          <w:tcPr>
            <w:tcW w:w="1167" w:type="pct"/>
            <w:tcBorders>
              <w:bottom w:val="single" w:color="auto" w:sz="4" w:space="0"/>
            </w:tcBorders>
            <w:vAlign w:val="center"/>
          </w:tcPr>
          <w:p w14:paraId="0B6008CB">
            <w:pPr>
              <w:jc w:val="center"/>
              <w:rPr>
                <w:rFonts w:hint="default" w:ascii="Times New Roman" w:hAnsi="Times New Roman" w:cs="Times New Roman"/>
                <w:szCs w:val="21"/>
              </w:rPr>
            </w:pPr>
            <w:r>
              <w:rPr>
                <w:rFonts w:hint="default" w:ascii="Times New Roman" w:hAnsi="Times New Roman" w:cs="Times New Roman"/>
                <w:szCs w:val="21"/>
              </w:rPr>
              <w:t>GB/T 8939</w:t>
            </w:r>
            <w:r>
              <w:rPr>
                <w:rFonts w:hint="default" w:ascii="Times New Roman" w:hAnsi="Times New Roman" w:cs="Times New Roman"/>
                <w:color w:val="000000"/>
                <w:szCs w:val="21"/>
              </w:rPr>
              <w:t>—</w:t>
            </w:r>
            <w:r>
              <w:rPr>
                <w:rFonts w:hint="default" w:ascii="Times New Roman" w:hAnsi="Times New Roman" w:cs="Times New Roman"/>
                <w:szCs w:val="21"/>
              </w:rPr>
              <w:t>2025</w:t>
            </w:r>
          </w:p>
        </w:tc>
        <w:tc>
          <w:tcPr>
            <w:tcW w:w="1281" w:type="pct"/>
            <w:tcBorders>
              <w:bottom w:val="single" w:color="auto" w:sz="4" w:space="0"/>
            </w:tcBorders>
            <w:vAlign w:val="center"/>
          </w:tcPr>
          <w:p w14:paraId="00E216B0">
            <w:pPr>
              <w:jc w:val="center"/>
              <w:rPr>
                <w:rFonts w:ascii="Times New Roman" w:hAnsi="Times New Roman" w:cs="Times New Roman"/>
                <w:szCs w:val="21"/>
              </w:rPr>
            </w:pPr>
            <w:r>
              <w:rPr>
                <w:rFonts w:ascii="Times New Roman" w:hAnsi="Times New Roman" w:cs="Times New Roman"/>
                <w:szCs w:val="21"/>
              </w:rPr>
              <w:t>GB/T 17592</w:t>
            </w:r>
            <w:r>
              <w:rPr>
                <w:rFonts w:hint="default" w:ascii="Times New Roman" w:hAnsi="Times New Roman" w:cs="Times New Roman"/>
                <w:color w:val="000000"/>
                <w:szCs w:val="21"/>
              </w:rPr>
              <w:t>—</w:t>
            </w:r>
            <w:r>
              <w:rPr>
                <w:rFonts w:ascii="Times New Roman" w:hAnsi="Times New Roman" w:cs="Times New Roman"/>
                <w:szCs w:val="21"/>
              </w:rPr>
              <w:t>2024</w:t>
            </w:r>
          </w:p>
          <w:p w14:paraId="7E3E0A71">
            <w:pPr>
              <w:jc w:val="center"/>
              <w:rPr>
                <w:rFonts w:hint="default" w:ascii="Times New Roman" w:hAnsi="Times New Roman" w:cs="Times New Roman"/>
                <w:szCs w:val="21"/>
              </w:rPr>
            </w:pPr>
            <w:r>
              <w:rPr>
                <w:rFonts w:ascii="Times New Roman" w:hAnsi="Times New Roman" w:cs="Times New Roman"/>
                <w:szCs w:val="21"/>
              </w:rPr>
              <w:t>GB/T 23344</w:t>
            </w:r>
            <w:r>
              <w:rPr>
                <w:rFonts w:hint="default" w:ascii="Times New Roman" w:hAnsi="Times New Roman" w:cs="Times New Roman"/>
                <w:color w:val="000000"/>
                <w:szCs w:val="21"/>
              </w:rPr>
              <w:t>—</w:t>
            </w:r>
            <w:r>
              <w:rPr>
                <w:rFonts w:ascii="Times New Roman" w:hAnsi="Times New Roman" w:cs="Times New Roman"/>
                <w:szCs w:val="21"/>
              </w:rPr>
              <w:t>2009</w:t>
            </w:r>
          </w:p>
        </w:tc>
      </w:tr>
      <w:tr w14:paraId="5D18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jc w:val="center"/>
        </w:trPr>
        <w:tc>
          <w:tcPr>
            <w:tcW w:w="5000" w:type="pct"/>
            <w:gridSpan w:val="6"/>
            <w:tcBorders>
              <w:top w:val="single" w:color="auto" w:sz="4" w:space="0"/>
              <w:left w:val="single" w:color="auto" w:sz="4" w:space="0"/>
              <w:bottom w:val="single" w:color="auto" w:sz="4" w:space="0"/>
            </w:tcBorders>
          </w:tcPr>
          <w:p w14:paraId="168B49F2">
            <w:pPr>
              <w:jc w:val="left"/>
              <w:rPr>
                <w:rFonts w:ascii="Times New Roman" w:hAnsi="Times New Roman" w:cs="Times New Roman"/>
                <w:szCs w:val="21"/>
              </w:rPr>
            </w:pPr>
            <w:r>
              <w:rPr>
                <w:rFonts w:hint="default" w:ascii="Times New Roman" w:hAnsi="Times New Roman" w:cs="Times New Roman"/>
                <w:szCs w:val="21"/>
              </w:rPr>
              <w:t>注：</w:t>
            </w:r>
          </w:p>
          <w:p w14:paraId="3DED7C0F">
            <w:pPr>
              <w:jc w:val="left"/>
              <w:rPr>
                <w:rFonts w:hint="default" w:ascii="Times New Roman" w:hAnsi="Times New Roman" w:cs="Times New Roman"/>
                <w:szCs w:val="21"/>
              </w:rPr>
            </w:pPr>
            <w:r>
              <w:rPr>
                <w:rFonts w:hint="default" w:ascii="Times New Roman" w:hAnsi="Times New Roman" w:cs="Times New Roman"/>
                <w:szCs w:val="21"/>
                <w:lang w:val="en-US" w:eastAsia="zh-CN"/>
              </w:rPr>
              <w:t>a</w:t>
            </w:r>
            <w:r>
              <w:rPr>
                <w:rFonts w:hint="default" w:ascii="Times New Roman" w:hAnsi="Times New Roman" w:cs="Times New Roman"/>
                <w:szCs w:val="21"/>
              </w:rPr>
              <w:t>：</w:t>
            </w:r>
            <w:r>
              <w:rPr>
                <w:rFonts w:hint="default" w:ascii="Times New Roman" w:hAnsi="Times New Roman" w:cs="Times New Roman"/>
                <w:szCs w:val="21"/>
                <w:lang w:val="en-US" w:eastAsia="zh-CN"/>
              </w:rPr>
              <w:t>仅限卫生巾产品；</w:t>
            </w:r>
          </w:p>
          <w:p w14:paraId="78A09543">
            <w:pPr>
              <w:jc w:val="left"/>
              <w:rPr>
                <w:rFonts w:ascii="Times New Roman" w:hAnsi="Times New Roman" w:cs="Times New Roman"/>
                <w:szCs w:val="21"/>
              </w:rPr>
            </w:pPr>
            <w:r>
              <w:rPr>
                <w:rFonts w:hint="default" w:ascii="Times New Roman" w:hAnsi="Times New Roman" w:cs="Times New Roman"/>
                <w:szCs w:val="21"/>
                <w:lang w:val="en-US" w:eastAsia="zh-CN"/>
              </w:rPr>
              <w:t>b</w:t>
            </w:r>
            <w:r>
              <w:rPr>
                <w:rFonts w:hint="default" w:ascii="Times New Roman" w:hAnsi="Times New Roman" w:cs="Times New Roman"/>
                <w:szCs w:val="21"/>
              </w:rPr>
              <w:t>：</w:t>
            </w:r>
            <w:r>
              <w:rPr>
                <w:rFonts w:hint="default" w:ascii="Times New Roman" w:hAnsi="Times New Roman" w:cs="Times New Roman"/>
                <w:szCs w:val="21"/>
                <w:lang w:val="en-US" w:eastAsia="zh-CN"/>
              </w:rPr>
              <w:t>仅限卫生巾产品（</w:t>
            </w:r>
            <w:r>
              <w:rPr>
                <w:rFonts w:ascii="Times New Roman" w:hAnsi="Times New Roman" w:cs="Times New Roman"/>
                <w:szCs w:val="21"/>
              </w:rPr>
              <w:t>仅标称全长在200mm(含)以上的产品</w:t>
            </w:r>
            <w:r>
              <w:rPr>
                <w:rFonts w:hint="default" w:ascii="Times New Roman" w:hAnsi="Times New Roman" w:cs="Times New Roman"/>
                <w:szCs w:val="21"/>
                <w:lang w:eastAsia="zh-CN"/>
              </w:rPr>
              <w:t>）</w:t>
            </w:r>
            <w:r>
              <w:rPr>
                <w:rFonts w:hint="default" w:ascii="Times New Roman" w:hAnsi="Times New Roman" w:cs="Times New Roman"/>
                <w:szCs w:val="21"/>
              </w:rPr>
              <w:t>；</w:t>
            </w:r>
          </w:p>
          <w:p w14:paraId="438B2F10">
            <w:pPr>
              <w:jc w:val="left"/>
              <w:rPr>
                <w:rFonts w:ascii="Times New Roman" w:hAnsi="Times New Roman" w:cs="Times New Roman"/>
                <w:szCs w:val="21"/>
              </w:rPr>
            </w:pPr>
            <w:r>
              <w:rPr>
                <w:rFonts w:hint="default" w:ascii="Times New Roman" w:hAnsi="Times New Roman" w:cs="Times New Roman"/>
                <w:szCs w:val="21"/>
                <w:lang w:val="en-US" w:eastAsia="zh-CN"/>
              </w:rPr>
              <w:t>c</w:t>
            </w:r>
            <w:r>
              <w:rPr>
                <w:rFonts w:hint="default" w:ascii="Times New Roman" w:hAnsi="Times New Roman" w:cs="Times New Roman"/>
                <w:szCs w:val="21"/>
              </w:rPr>
              <w:t>：</w:t>
            </w:r>
            <w:r>
              <w:rPr>
                <w:rFonts w:ascii="Times New Roman" w:hAnsi="Times New Roman" w:cs="Times New Roman"/>
                <w:szCs w:val="21"/>
              </w:rPr>
              <w:t>可迁移性荧光物质包含可迁移性荧光增白剂</w:t>
            </w:r>
            <w:r>
              <w:rPr>
                <w:rFonts w:hint="default" w:ascii="Times New Roman" w:hAnsi="Times New Roman" w:cs="Times New Roman"/>
                <w:szCs w:val="21"/>
              </w:rPr>
              <w:t>；</w:t>
            </w:r>
          </w:p>
          <w:p w14:paraId="4D995F3D">
            <w:pPr>
              <w:jc w:val="left"/>
              <w:rPr>
                <w:rFonts w:hint="default" w:ascii="Times New Roman" w:hAnsi="Times New Roman" w:cs="Times New Roman"/>
                <w:szCs w:val="21"/>
              </w:rPr>
            </w:pPr>
            <w:r>
              <w:rPr>
                <w:rFonts w:hint="default" w:ascii="Times New Roman" w:hAnsi="Times New Roman" w:cs="Times New Roman"/>
                <w:szCs w:val="21"/>
                <w:lang w:val="en-US" w:eastAsia="zh-CN"/>
              </w:rPr>
              <w:t>d</w:t>
            </w:r>
            <w:r>
              <w:rPr>
                <w:rFonts w:hint="default" w:ascii="Times New Roman" w:hAnsi="Times New Roman" w:cs="Times New Roman"/>
                <w:szCs w:val="21"/>
              </w:rPr>
              <w:t>：</w:t>
            </w:r>
            <w:r>
              <w:rPr>
                <w:rFonts w:ascii="Times New Roman" w:hAnsi="Times New Roman" w:cs="Times New Roman"/>
                <w:szCs w:val="21"/>
              </w:rPr>
              <w:t>仅印刷或染色的产品考核</w:t>
            </w:r>
            <w:r>
              <w:rPr>
                <w:rFonts w:hint="default" w:ascii="Times New Roman" w:hAnsi="Times New Roman" w:cs="Times New Roman"/>
                <w:szCs w:val="21"/>
              </w:rPr>
              <w:t>；</w:t>
            </w:r>
          </w:p>
          <w:p w14:paraId="7FC253E0">
            <w:pPr>
              <w:jc w:val="left"/>
              <w:rPr>
                <w:rFonts w:hint="default" w:ascii="Times New Roman" w:hAnsi="Times New Roman" w:cs="Times New Roman"/>
                <w:szCs w:val="21"/>
              </w:rPr>
            </w:pPr>
            <w:r>
              <w:rPr>
                <w:rFonts w:hint="default" w:ascii="Times New Roman" w:hAnsi="Times New Roman" w:cs="Times New Roman"/>
                <w:szCs w:val="21"/>
              </w:rPr>
              <w:t>依据卫健委“卫监督发〔2005〕515号”《健康相关产品国家卫生监督抽检规定》第十九条“产品微生物指标超标的不予复检”的规定，微生物学指标项目（第1、2、3项）不予复检。</w:t>
            </w:r>
          </w:p>
        </w:tc>
      </w:tr>
    </w:tbl>
    <w:p w14:paraId="79B37F1D">
      <w:pPr>
        <w:spacing w:line="240" w:lineRule="auto"/>
        <w:rPr>
          <w:rFonts w:hint="eastAsia" w:ascii="Times New Roman" w:hAnsi="Times New Roman" w:eastAsia="宋体" w:cs="宋体"/>
          <w:sz w:val="22"/>
          <w:szCs w:val="28"/>
        </w:rPr>
      </w:pPr>
    </w:p>
    <w:p w14:paraId="176081A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6C5AB0EB">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6E420B9F">
      <w:pPr>
        <w:spacing w:line="240" w:lineRule="auto"/>
        <w:ind w:firstLine="440" w:firstLineChars="200"/>
        <w:rPr>
          <w:rFonts w:ascii="Times New Roman" w:hAnsi="Times New Roman" w:eastAsia="宋体" w:cs="宋体"/>
          <w:sz w:val="22"/>
          <w:szCs w:val="28"/>
        </w:rPr>
      </w:pPr>
    </w:p>
    <w:p w14:paraId="76C4D476">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78179CE3">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3CEAB191">
      <w:pPr>
        <w:spacing w:line="440" w:lineRule="exact"/>
        <w:ind w:firstLine="420" w:firstLineChars="200"/>
        <w:rPr>
          <w:rFonts w:ascii="Times New Roman" w:hAnsi="Times New Roman" w:cs="Times New Roman"/>
          <w:kern w:val="0"/>
          <w:szCs w:val="32"/>
        </w:rPr>
      </w:pPr>
      <w:r>
        <w:rPr>
          <w:rFonts w:ascii="Times New Roman" w:hAnsi="Times New Roman" w:cs="Times New Roman"/>
          <w:kern w:val="0"/>
          <w:szCs w:val="32"/>
        </w:rPr>
        <w:t>GB 15979</w:t>
      </w:r>
      <w:r>
        <w:rPr>
          <w:rFonts w:hint="default" w:ascii="Times New Roman" w:hAnsi="Times New Roman" w:cs="Times New Roman"/>
          <w:color w:val="000000"/>
          <w:szCs w:val="21"/>
        </w:rPr>
        <w:t>—</w:t>
      </w:r>
      <w:r>
        <w:rPr>
          <w:rFonts w:ascii="Times New Roman" w:hAnsi="Times New Roman" w:cs="Times New Roman"/>
          <w:kern w:val="0"/>
          <w:szCs w:val="32"/>
        </w:rPr>
        <w:t>2002一次性使用卫生用品卫生标准</w:t>
      </w:r>
    </w:p>
    <w:p w14:paraId="12AAE052">
      <w:pPr>
        <w:spacing w:line="440" w:lineRule="exact"/>
        <w:ind w:firstLine="420" w:firstLineChars="200"/>
        <w:rPr>
          <w:rFonts w:ascii="Times New Roman" w:hAnsi="Times New Roman" w:cs="Times New Roman"/>
          <w:kern w:val="0"/>
          <w:szCs w:val="32"/>
        </w:rPr>
      </w:pPr>
      <w:r>
        <w:rPr>
          <w:rFonts w:ascii="Times New Roman" w:hAnsi="Times New Roman" w:cs="Times New Roman"/>
          <w:kern w:val="0"/>
          <w:szCs w:val="32"/>
        </w:rPr>
        <w:t>GB 15979</w:t>
      </w:r>
      <w:r>
        <w:rPr>
          <w:rFonts w:hint="default" w:ascii="Times New Roman" w:hAnsi="Times New Roman" w:cs="Times New Roman"/>
          <w:color w:val="000000"/>
          <w:szCs w:val="21"/>
        </w:rPr>
        <w:t>—</w:t>
      </w:r>
      <w:r>
        <w:rPr>
          <w:rFonts w:ascii="Times New Roman" w:hAnsi="Times New Roman" w:cs="Times New Roman"/>
          <w:kern w:val="0"/>
          <w:szCs w:val="32"/>
        </w:rPr>
        <w:t>20</w:t>
      </w:r>
      <w:r>
        <w:rPr>
          <w:rFonts w:hint="default" w:ascii="Times New Roman" w:hAnsi="Times New Roman" w:cs="Times New Roman"/>
          <w:kern w:val="0"/>
          <w:szCs w:val="32"/>
        </w:rPr>
        <w:t xml:space="preserve">24 </w:t>
      </w:r>
      <w:r>
        <w:rPr>
          <w:rFonts w:ascii="Times New Roman" w:hAnsi="Times New Roman" w:cs="Times New Roman"/>
          <w:kern w:val="0"/>
          <w:szCs w:val="32"/>
        </w:rPr>
        <w:t>一次性使用卫生用品卫生</w:t>
      </w:r>
      <w:r>
        <w:rPr>
          <w:rFonts w:hint="default" w:ascii="Times New Roman" w:hAnsi="Times New Roman" w:cs="Times New Roman"/>
          <w:kern w:val="0"/>
          <w:szCs w:val="32"/>
        </w:rPr>
        <w:t>要求</w:t>
      </w:r>
    </w:p>
    <w:p w14:paraId="406C58B2">
      <w:pPr>
        <w:spacing w:line="440" w:lineRule="exact"/>
        <w:ind w:firstLine="420" w:firstLineChars="200"/>
        <w:rPr>
          <w:rFonts w:ascii="Times New Roman" w:hAnsi="Times New Roman" w:cs="Times New Roman"/>
          <w:szCs w:val="32"/>
        </w:rPr>
      </w:pPr>
      <w:r>
        <w:rPr>
          <w:rFonts w:ascii="Times New Roman" w:hAnsi="Times New Roman" w:cs="Times New Roman"/>
          <w:szCs w:val="32"/>
        </w:rPr>
        <w:t>GB/T 8939</w:t>
      </w:r>
      <w:r>
        <w:rPr>
          <w:rFonts w:hint="default" w:ascii="Times New Roman" w:hAnsi="Times New Roman" w:cs="Times New Roman"/>
          <w:color w:val="000000"/>
          <w:szCs w:val="21"/>
        </w:rPr>
        <w:t>—</w:t>
      </w:r>
      <w:r>
        <w:rPr>
          <w:rFonts w:ascii="Times New Roman" w:hAnsi="Times New Roman" w:cs="Times New Roman"/>
          <w:szCs w:val="32"/>
        </w:rPr>
        <w:t>2018 卫生巾（护垫）</w:t>
      </w:r>
    </w:p>
    <w:p w14:paraId="2B488E3E">
      <w:pPr>
        <w:spacing w:line="440" w:lineRule="exact"/>
        <w:ind w:firstLine="420" w:firstLineChars="200"/>
        <w:rPr>
          <w:rFonts w:hint="default" w:ascii="Times New Roman" w:hAnsi="Times New Roman" w:cs="Times New Roman"/>
          <w:szCs w:val="32"/>
        </w:rPr>
      </w:pPr>
      <w:r>
        <w:rPr>
          <w:rFonts w:ascii="Times New Roman" w:hAnsi="Times New Roman" w:cs="Times New Roman"/>
          <w:szCs w:val="32"/>
        </w:rPr>
        <w:t>GB/T 8939</w:t>
      </w:r>
      <w:r>
        <w:rPr>
          <w:rFonts w:hint="default" w:ascii="Times New Roman" w:hAnsi="Times New Roman" w:cs="Times New Roman"/>
          <w:color w:val="000000"/>
          <w:szCs w:val="21"/>
        </w:rPr>
        <w:t>—</w:t>
      </w:r>
      <w:r>
        <w:rPr>
          <w:rFonts w:ascii="Times New Roman" w:hAnsi="Times New Roman" w:cs="Times New Roman"/>
          <w:szCs w:val="32"/>
        </w:rPr>
        <w:t>20</w:t>
      </w:r>
      <w:r>
        <w:rPr>
          <w:rFonts w:hint="default" w:ascii="Times New Roman" w:hAnsi="Times New Roman" w:cs="Times New Roman"/>
          <w:szCs w:val="32"/>
        </w:rPr>
        <w:t>25</w:t>
      </w:r>
      <w:r>
        <w:rPr>
          <w:rFonts w:ascii="Times New Roman" w:hAnsi="Times New Roman" w:cs="Times New Roman"/>
          <w:szCs w:val="32"/>
        </w:rPr>
        <w:t xml:space="preserve"> 卫生巾（护垫）</w:t>
      </w:r>
    </w:p>
    <w:p w14:paraId="17937344">
      <w:pPr>
        <w:spacing w:line="520" w:lineRule="exact"/>
        <w:ind w:firstLine="420" w:firstLineChars="200"/>
        <w:rPr>
          <w:rFonts w:ascii="Times New Roman" w:hAnsi="Times New Roman" w:eastAsia="宋体" w:cs="宋体"/>
          <w:sz w:val="22"/>
          <w:szCs w:val="28"/>
        </w:rPr>
      </w:pPr>
      <w:r>
        <w:rPr>
          <w:szCs w:val="21"/>
        </w:rPr>
        <w:t>现行有效的企业标准、团体标准、地方标准及产品明示质量要求</w:t>
      </w:r>
    </w:p>
    <w:p w14:paraId="0EB9BFF0">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0705119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687F7DB4">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E064BA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52919A7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6DF9BA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3B640A8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07F485E2">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A454C">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53886334"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B3F94F">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9sZGvRAAAAAgEAAA8AAAAAAAAAAQAgAAAAIgAAAGRycy9kb3ducmV2LnhtbFBL&#10;AQIUABQAAAAIAIdO4kDu9ekuNgIAAFoEAAAOAAAAAAAAAAEAIAAAACABAABkcnMvZTJvRG9jLnht&#10;bFBLBQYAAAAABgAGAFkBAADIBQAAAAA=&#10;">
              <v:fill on="f" focussize="0,0"/>
              <v:stroke on="f" weight="0.5pt"/>
              <v:imagedata o:title=""/>
              <o:lock v:ext="edit" aspectratio="f"/>
              <v:textbox inset="0mm,0mm,0mm,0mm" style="mso-fit-shape-to-text:t;">
                <w:txbxContent>
                  <w:p w14:paraId="55B3F94F">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F6E"/>
    <w:rsid w:val="001E0518"/>
    <w:rsid w:val="002213A1"/>
    <w:rsid w:val="00290344"/>
    <w:rsid w:val="00307EDA"/>
    <w:rsid w:val="004635C1"/>
    <w:rsid w:val="004D7D45"/>
    <w:rsid w:val="004E5914"/>
    <w:rsid w:val="005265F2"/>
    <w:rsid w:val="005406DB"/>
    <w:rsid w:val="006475FF"/>
    <w:rsid w:val="006B6387"/>
    <w:rsid w:val="0078615B"/>
    <w:rsid w:val="00787831"/>
    <w:rsid w:val="007E2FED"/>
    <w:rsid w:val="00823A2C"/>
    <w:rsid w:val="008A5EBD"/>
    <w:rsid w:val="00917E84"/>
    <w:rsid w:val="00920A70"/>
    <w:rsid w:val="009326DE"/>
    <w:rsid w:val="00934B01"/>
    <w:rsid w:val="0094749F"/>
    <w:rsid w:val="00963C44"/>
    <w:rsid w:val="00A174A1"/>
    <w:rsid w:val="00A47AF0"/>
    <w:rsid w:val="00A92052"/>
    <w:rsid w:val="00AD7F9D"/>
    <w:rsid w:val="00AF6F6E"/>
    <w:rsid w:val="00B04485"/>
    <w:rsid w:val="00B33425"/>
    <w:rsid w:val="00BB52BA"/>
    <w:rsid w:val="00CF1390"/>
    <w:rsid w:val="00D43862"/>
    <w:rsid w:val="00DE0819"/>
    <w:rsid w:val="00E713F4"/>
    <w:rsid w:val="00F07483"/>
    <w:rsid w:val="00F1554F"/>
    <w:rsid w:val="00F23265"/>
    <w:rsid w:val="00F30764"/>
    <w:rsid w:val="02551A35"/>
    <w:rsid w:val="036455F8"/>
    <w:rsid w:val="05467D5B"/>
    <w:rsid w:val="06E03F13"/>
    <w:rsid w:val="070E6657"/>
    <w:rsid w:val="0BCC37C1"/>
    <w:rsid w:val="0CD143AE"/>
    <w:rsid w:val="0D343503"/>
    <w:rsid w:val="13144FF5"/>
    <w:rsid w:val="13BC6D3C"/>
    <w:rsid w:val="149E7B87"/>
    <w:rsid w:val="156C55BC"/>
    <w:rsid w:val="1E3B3D7D"/>
    <w:rsid w:val="1E7B23CC"/>
    <w:rsid w:val="20103D30"/>
    <w:rsid w:val="222A1341"/>
    <w:rsid w:val="25F17862"/>
    <w:rsid w:val="288A4008"/>
    <w:rsid w:val="28971627"/>
    <w:rsid w:val="29B570DA"/>
    <w:rsid w:val="2B4863B8"/>
    <w:rsid w:val="2B830B12"/>
    <w:rsid w:val="2BA82C10"/>
    <w:rsid w:val="2E5977D4"/>
    <w:rsid w:val="2E8C4181"/>
    <w:rsid w:val="2ED81174"/>
    <w:rsid w:val="309F3D40"/>
    <w:rsid w:val="32786134"/>
    <w:rsid w:val="38A81BB8"/>
    <w:rsid w:val="3AB354CC"/>
    <w:rsid w:val="3B914507"/>
    <w:rsid w:val="3EE872BF"/>
    <w:rsid w:val="408E5B37"/>
    <w:rsid w:val="42C54070"/>
    <w:rsid w:val="43081BD1"/>
    <w:rsid w:val="439E0D9F"/>
    <w:rsid w:val="46050649"/>
    <w:rsid w:val="46F26E20"/>
    <w:rsid w:val="470C0994"/>
    <w:rsid w:val="485F60A2"/>
    <w:rsid w:val="48797678"/>
    <w:rsid w:val="4C6D02BD"/>
    <w:rsid w:val="4E227B86"/>
    <w:rsid w:val="4E3A2F69"/>
    <w:rsid w:val="4FDF3A0A"/>
    <w:rsid w:val="523C53F3"/>
    <w:rsid w:val="534D3EB1"/>
    <w:rsid w:val="560E4A67"/>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791</Words>
  <Characters>1376</Characters>
  <Lines>49</Lines>
  <Paragraphs>14</Paragraphs>
  <TotalTime>9</TotalTime>
  <ScaleCrop>false</ScaleCrop>
  <LinksUpToDate>false</LinksUpToDate>
  <CharactersWithSpaces>1433</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2026-06-24T04:45:00Z</dcterms:created>
  <dc:creator>JinweiJia</dc:creator>
  <cp:lastModifiedBy>zw</cp:lastModifiedBy>
  <cp:lastPrinted>2026-06-25T02:50:00Z</cp:lastPrinted>
  <dcterms:modified xsi:type="dcterms:W3CDTF">2026-07-06T03:50:02Z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3966CDEC69F8447D93745EBB81973650_13</vt:lpwstr>
  </property>
  <property fmtid="{D5CDD505-2E9C-101B-9397-08002B2CF9AE}" pid="4" name="KSOTemplateDocerSaveRecord">
    <vt:lpwstr>eyJoZGlkIjoiYjU4YTEyOWI0YTA1NzExMDUyM2E4NzRjZjM1MmQ2OWEiLCJ1c2VySWQiOiIxMTI2NTcyODI0In0=</vt:lpwstr>
  </property>
</Properties>
</file>